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14EEA" w14:textId="77777777" w:rsidR="00556E44" w:rsidRDefault="00A67A5D" w:rsidP="00943427">
      <w:pPr>
        <w:pStyle w:val="CoverLogo"/>
      </w:pPr>
      <w:r>
        <w:rPr>
          <w:noProof/>
        </w:rPr>
        <mc:AlternateContent>
          <mc:Choice Requires="wpg">
            <w:drawing>
              <wp:anchor distT="0" distB="0" distL="114300" distR="114300" simplePos="0" relativeHeight="251658240" behindDoc="0" locked="0" layoutInCell="1" allowOverlap="1" wp14:anchorId="43F14FC4" wp14:editId="43F14FC5">
                <wp:simplePos x="0" y="0"/>
                <wp:positionH relativeFrom="column">
                  <wp:posOffset>2520315</wp:posOffset>
                </wp:positionH>
                <wp:positionV relativeFrom="paragraph">
                  <wp:posOffset>-477520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8.45pt;margin-top:-37.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43F14EEB" w14:textId="77777777" w:rsidR="00556E44" w:rsidRDefault="00556E44" w:rsidP="00943427"/>
    <w:p w14:paraId="765DD447" w14:textId="77777777" w:rsidR="009011B6" w:rsidRDefault="009011B6" w:rsidP="009011B6">
      <w:pPr>
        <w:pStyle w:val="CoverTitle24pt"/>
      </w:pPr>
    </w:p>
    <w:p w14:paraId="169A3DDE" w14:textId="08A58DD9" w:rsidR="009011B6" w:rsidRPr="00CC3AE5" w:rsidRDefault="009011B6" w:rsidP="009011B6">
      <w:pPr>
        <w:pStyle w:val="CoverTitle24pt"/>
        <w:rPr>
          <w:color w:val="1D1B11" w:themeColor="background2" w:themeShade="1A"/>
        </w:rPr>
      </w:pPr>
      <w:r w:rsidRPr="00CC3AE5">
        <w:rPr>
          <w:color w:val="1D1B11" w:themeColor="background2" w:themeShade="1A"/>
        </w:rPr>
        <w:t>Appendix C-2</w:t>
      </w:r>
    </w:p>
    <w:p w14:paraId="364436C8" w14:textId="77777777" w:rsidR="009011B6" w:rsidRPr="00CC3AE5" w:rsidRDefault="009011B6" w:rsidP="009011B6">
      <w:pPr>
        <w:rPr>
          <w:color w:val="1D1B11" w:themeColor="background2" w:themeShade="1A"/>
        </w:rPr>
      </w:pPr>
    </w:p>
    <w:p w14:paraId="71F654EB" w14:textId="77777777" w:rsidR="009011B6" w:rsidRPr="00CC3AE5" w:rsidRDefault="009011B6" w:rsidP="009011B6">
      <w:pPr>
        <w:pStyle w:val="CoverTitle24pt"/>
        <w:spacing w:after="0"/>
        <w:rPr>
          <w:color w:val="1D1B11" w:themeColor="background2" w:themeShade="1A"/>
        </w:rPr>
      </w:pPr>
      <w:r w:rsidRPr="00CC3AE5">
        <w:rPr>
          <w:color w:val="1D1B11" w:themeColor="background2" w:themeShade="1A"/>
        </w:rPr>
        <w:t>Preliminary Due Diligence List</w:t>
      </w:r>
      <w:r w:rsidRPr="00CC3AE5" w:rsidDel="00021DF3">
        <w:rPr>
          <w:color w:val="1D1B11" w:themeColor="background2" w:themeShade="1A"/>
        </w:rPr>
        <w:t xml:space="preserve"> </w:t>
      </w:r>
    </w:p>
    <w:p w14:paraId="1224B967" w14:textId="77777777" w:rsidR="009011B6" w:rsidRPr="00CC3AE5" w:rsidRDefault="009011B6" w:rsidP="009011B6">
      <w:pPr>
        <w:pStyle w:val="CoverTitle24pt"/>
        <w:spacing w:after="0"/>
        <w:rPr>
          <w:color w:val="1D1B11" w:themeColor="background2" w:themeShade="1A"/>
        </w:rPr>
      </w:pPr>
    </w:p>
    <w:p w14:paraId="25E96BD4" w14:textId="2E28C2EA" w:rsidR="009011B6" w:rsidRPr="00CC3AE5" w:rsidRDefault="009011B6" w:rsidP="009011B6">
      <w:pPr>
        <w:pStyle w:val="CoverTitle24pt"/>
        <w:spacing w:after="0"/>
        <w:rPr>
          <w:color w:val="1D1B11" w:themeColor="background2" w:themeShade="1A"/>
        </w:rPr>
      </w:pPr>
      <w:r w:rsidRPr="00CC3AE5">
        <w:rPr>
          <w:color w:val="1D1B11" w:themeColor="background2" w:themeShade="1A"/>
        </w:rPr>
        <w:t>(Existing Resources)</w:t>
      </w:r>
    </w:p>
    <w:p w14:paraId="06DA5B77" w14:textId="77777777" w:rsidR="009011B6" w:rsidRPr="00CC3AE5" w:rsidRDefault="009011B6" w:rsidP="009011B6">
      <w:pPr>
        <w:pStyle w:val="CoverTitle24pt"/>
        <w:spacing w:after="0"/>
        <w:rPr>
          <w:color w:val="1D1B11" w:themeColor="background2" w:themeShade="1A"/>
          <w:szCs w:val="48"/>
        </w:rPr>
      </w:pPr>
    </w:p>
    <w:p w14:paraId="01F3A798" w14:textId="77777777" w:rsidR="009011B6" w:rsidRPr="00CC3AE5" w:rsidRDefault="009011B6" w:rsidP="009011B6">
      <w:pPr>
        <w:pStyle w:val="Date"/>
        <w:spacing w:after="0"/>
        <w:jc w:val="center"/>
        <w:rPr>
          <w:rFonts w:ascii="Tahoma" w:hAnsi="Tahoma"/>
          <w:b/>
          <w:i/>
          <w:color w:val="1D1B11" w:themeColor="background2" w:themeShade="1A"/>
          <w:sz w:val="48"/>
          <w:szCs w:val="20"/>
        </w:rPr>
      </w:pPr>
      <w:r w:rsidRPr="00CC3AE5">
        <w:rPr>
          <w:rFonts w:ascii="Tahoma" w:hAnsi="Tahoma"/>
          <w:b/>
          <w:i/>
          <w:color w:val="1D1B11" w:themeColor="background2" w:themeShade="1A"/>
          <w:sz w:val="48"/>
          <w:szCs w:val="20"/>
        </w:rPr>
        <w:t>For</w:t>
      </w:r>
    </w:p>
    <w:p w14:paraId="7B713101" w14:textId="77777777" w:rsidR="009011B6" w:rsidRPr="00CC3AE5" w:rsidRDefault="009011B6" w:rsidP="009011B6">
      <w:pPr>
        <w:pStyle w:val="Date"/>
        <w:spacing w:after="0"/>
        <w:jc w:val="center"/>
        <w:rPr>
          <w:rFonts w:ascii="Tahoma" w:hAnsi="Tahoma" w:cs="Tahoma"/>
          <w:b/>
          <w:bCs/>
          <w:i/>
          <w:iCs/>
          <w:color w:val="1D1B11" w:themeColor="background2" w:themeShade="1A"/>
          <w:sz w:val="48"/>
          <w:szCs w:val="48"/>
        </w:rPr>
      </w:pPr>
      <w:r w:rsidRPr="00CC3AE5">
        <w:rPr>
          <w:rFonts w:ascii="Tahoma" w:hAnsi="Tahoma"/>
          <w:b/>
          <w:i/>
          <w:color w:val="1D1B11" w:themeColor="background2" w:themeShade="1A"/>
          <w:sz w:val="48"/>
          <w:szCs w:val="20"/>
        </w:rPr>
        <w:br/>
      </w:r>
      <w:r w:rsidRPr="00CC3AE5">
        <w:rPr>
          <w:rFonts w:ascii="Tahoma" w:hAnsi="Tahoma" w:cs="Tahoma"/>
          <w:b/>
          <w:bCs/>
          <w:i/>
          <w:iCs/>
          <w:color w:val="1D1B11" w:themeColor="background2" w:themeShade="1A"/>
          <w:sz w:val="48"/>
          <w:szCs w:val="48"/>
        </w:rPr>
        <w:t>2015 Request For Proposals</w:t>
      </w:r>
    </w:p>
    <w:p w14:paraId="4071FBCF" w14:textId="77777777" w:rsidR="009011B6" w:rsidRPr="00CC3AE5" w:rsidRDefault="009011B6" w:rsidP="009011B6">
      <w:pPr>
        <w:pStyle w:val="Date"/>
        <w:spacing w:after="0"/>
        <w:jc w:val="center"/>
        <w:rPr>
          <w:rFonts w:ascii="Tahoma" w:hAnsi="Tahoma" w:cs="Tahoma"/>
          <w:b/>
          <w:bCs/>
          <w:i/>
          <w:iCs/>
          <w:color w:val="1D1B11" w:themeColor="background2" w:themeShade="1A"/>
          <w:sz w:val="48"/>
          <w:szCs w:val="48"/>
        </w:rPr>
      </w:pPr>
      <w:r w:rsidRPr="00CC3AE5">
        <w:rPr>
          <w:rFonts w:ascii="Tahoma" w:hAnsi="Tahoma" w:cs="Tahoma"/>
          <w:b/>
          <w:bCs/>
          <w:i/>
          <w:iCs/>
          <w:color w:val="1D1B11" w:themeColor="background2" w:themeShade="1A"/>
          <w:sz w:val="48"/>
          <w:szCs w:val="48"/>
        </w:rPr>
        <w:t xml:space="preserve">For </w:t>
      </w:r>
      <w:r w:rsidRPr="00CC3AE5">
        <w:rPr>
          <w:rFonts w:ascii="Tahoma" w:hAnsi="Tahoma"/>
          <w:b/>
          <w:i/>
          <w:color w:val="1D1B11" w:themeColor="background2" w:themeShade="1A"/>
          <w:sz w:val="48"/>
        </w:rPr>
        <w:t>Long-Term D</w:t>
      </w:r>
      <w:r w:rsidRPr="00CC3AE5">
        <w:rPr>
          <w:rFonts w:ascii="Tahoma" w:hAnsi="Tahoma" w:cs="Tahoma"/>
          <w:b/>
          <w:bCs/>
          <w:i/>
          <w:iCs/>
          <w:color w:val="1D1B11" w:themeColor="background2" w:themeShade="1A"/>
          <w:sz w:val="48"/>
          <w:szCs w:val="48"/>
        </w:rPr>
        <w:t xml:space="preserve">evelopmental and Existing Capacity and Energy Resources </w:t>
      </w:r>
    </w:p>
    <w:p w14:paraId="6FD61C1F" w14:textId="77777777" w:rsidR="009011B6" w:rsidRPr="00CC3AE5" w:rsidRDefault="009011B6" w:rsidP="009011B6">
      <w:pPr>
        <w:pStyle w:val="CoverTitle24pt"/>
        <w:spacing w:after="0"/>
        <w:rPr>
          <w:color w:val="1D1B11" w:themeColor="background2" w:themeShade="1A"/>
          <w:szCs w:val="48"/>
        </w:rPr>
      </w:pPr>
    </w:p>
    <w:p w14:paraId="0401CEFF" w14:textId="77777777" w:rsidR="009011B6" w:rsidRPr="00CC3AE5" w:rsidRDefault="009011B6" w:rsidP="009011B6">
      <w:pPr>
        <w:pStyle w:val="CoverTitle24pt"/>
        <w:rPr>
          <w:color w:val="1D1B11" w:themeColor="background2" w:themeShade="1A"/>
          <w:szCs w:val="48"/>
        </w:rPr>
      </w:pPr>
    </w:p>
    <w:p w14:paraId="546EB82B" w14:textId="77777777" w:rsidR="009011B6" w:rsidRPr="00CC3AE5" w:rsidRDefault="009011B6" w:rsidP="009011B6">
      <w:pPr>
        <w:pStyle w:val="CoverTitle24pt"/>
        <w:spacing w:after="0"/>
        <w:rPr>
          <w:color w:val="1D1B11" w:themeColor="background2" w:themeShade="1A"/>
          <w:szCs w:val="48"/>
        </w:rPr>
      </w:pPr>
    </w:p>
    <w:p w14:paraId="369C37EB" w14:textId="77777777" w:rsidR="009011B6" w:rsidRPr="00CC3AE5" w:rsidRDefault="009011B6" w:rsidP="009011B6">
      <w:pPr>
        <w:pStyle w:val="CoverEntity"/>
        <w:spacing w:before="0"/>
        <w:rPr>
          <w:color w:val="1D1B11" w:themeColor="background2" w:themeShade="1A"/>
          <w:szCs w:val="40"/>
        </w:rPr>
      </w:pPr>
      <w:r w:rsidRPr="00CC3AE5">
        <w:rPr>
          <w:color w:val="1D1B11" w:themeColor="background2" w:themeShade="1A"/>
          <w:szCs w:val="40"/>
        </w:rPr>
        <w:t>Entergy Services, Inc.</w:t>
      </w:r>
    </w:p>
    <w:p w14:paraId="2219F43C" w14:textId="7E88B51C" w:rsidR="009011B6" w:rsidRPr="00CC3AE5" w:rsidRDefault="009011B6" w:rsidP="009011B6">
      <w:pPr>
        <w:jc w:val="center"/>
        <w:rPr>
          <w:rFonts w:ascii="Tahoma" w:hAnsi="Tahoma" w:cs="Tahoma"/>
          <w:color w:val="1D1B11" w:themeColor="background2" w:themeShade="1A"/>
          <w:sz w:val="40"/>
          <w:szCs w:val="40"/>
        </w:rPr>
      </w:pPr>
      <w:r w:rsidRPr="00CC3AE5">
        <w:rPr>
          <w:rFonts w:ascii="Tahoma" w:hAnsi="Tahoma" w:cs="Tahoma"/>
          <w:color w:val="1D1B11" w:themeColor="background2" w:themeShade="1A"/>
          <w:sz w:val="40"/>
          <w:szCs w:val="40"/>
        </w:rPr>
        <w:t>September 2</w:t>
      </w:r>
      <w:r w:rsidR="000545A2">
        <w:rPr>
          <w:rFonts w:ascii="Tahoma" w:hAnsi="Tahoma" w:cs="Tahoma"/>
          <w:color w:val="1D1B11" w:themeColor="background2" w:themeShade="1A"/>
          <w:sz w:val="40"/>
          <w:szCs w:val="40"/>
        </w:rPr>
        <w:t>9</w:t>
      </w:r>
      <w:bookmarkStart w:id="0" w:name="_GoBack"/>
      <w:bookmarkEnd w:id="0"/>
      <w:r w:rsidRPr="00CC3AE5">
        <w:rPr>
          <w:rFonts w:ascii="Tahoma" w:hAnsi="Tahoma" w:cs="Tahoma"/>
          <w:color w:val="1D1B11" w:themeColor="background2" w:themeShade="1A"/>
          <w:sz w:val="40"/>
          <w:szCs w:val="40"/>
        </w:rPr>
        <w:t>, 2015</w:t>
      </w:r>
    </w:p>
    <w:p w14:paraId="43F14EFC" w14:textId="69DE409A" w:rsidR="00ED750B" w:rsidRPr="00CC3AE5" w:rsidRDefault="00ED750B" w:rsidP="00ED750B">
      <w:pPr>
        <w:rPr>
          <w:color w:val="1D1B11" w:themeColor="background2" w:themeShade="1A"/>
          <w:sz w:val="28"/>
          <w:szCs w:val="28"/>
        </w:rPr>
        <w:sectPr w:rsidR="00ED750B" w:rsidRPr="00CC3AE5" w:rsidSect="0037215E">
          <w:headerReference w:type="default" r:id="rId12"/>
          <w:footerReference w:type="default" r:id="rId13"/>
          <w:headerReference w:type="first" r:id="rId14"/>
          <w:footerReference w:type="first" r:id="rId15"/>
          <w:pgSz w:w="12240" w:h="15840"/>
          <w:pgMar w:top="1296" w:right="1152" w:bottom="1440" w:left="1152" w:header="720" w:footer="720" w:gutter="0"/>
          <w:pgNumType w:start="1"/>
          <w:cols w:space="720"/>
          <w:titlePg/>
          <w:docGrid w:linePitch="326"/>
        </w:sectPr>
      </w:pPr>
      <w:r w:rsidRPr="00CC3AE5">
        <w:rPr>
          <w:color w:val="1D1B11" w:themeColor="background2" w:themeShade="1A"/>
          <w:sz w:val="28"/>
          <w:szCs w:val="28"/>
        </w:rPr>
        <w:br w:type="page"/>
      </w:r>
    </w:p>
    <w:p w14:paraId="43F14EFD" w14:textId="77777777" w:rsidR="00ED750B" w:rsidRPr="00CC3AE5" w:rsidRDefault="00ED750B" w:rsidP="00ED750B">
      <w:pPr>
        <w:tabs>
          <w:tab w:val="left" w:pos="720"/>
          <w:tab w:val="right" w:pos="8460"/>
        </w:tabs>
        <w:ind w:left="360"/>
        <w:jc w:val="center"/>
        <w:rPr>
          <w:b/>
          <w:color w:val="1D1B11" w:themeColor="background2" w:themeShade="1A"/>
          <w:szCs w:val="24"/>
        </w:rPr>
      </w:pPr>
      <w:r w:rsidRPr="00CC3AE5">
        <w:rPr>
          <w:b/>
          <w:color w:val="1D1B11" w:themeColor="background2" w:themeShade="1A"/>
          <w:szCs w:val="24"/>
        </w:rPr>
        <w:lastRenderedPageBreak/>
        <w:t>APPENDIX C-2</w:t>
      </w:r>
    </w:p>
    <w:p w14:paraId="43F14EFE" w14:textId="77777777" w:rsidR="00ED750B" w:rsidRPr="00CC3AE5" w:rsidRDefault="00ED750B" w:rsidP="00ED750B">
      <w:pPr>
        <w:tabs>
          <w:tab w:val="left" w:pos="720"/>
          <w:tab w:val="right" w:pos="8460"/>
        </w:tabs>
        <w:ind w:left="360"/>
        <w:jc w:val="center"/>
        <w:rPr>
          <w:rFonts w:ascii="Times New Roman Bold" w:hAnsi="Times New Roman Bold"/>
          <w:caps/>
          <w:color w:val="1D1B11" w:themeColor="background2" w:themeShade="1A"/>
          <w:szCs w:val="24"/>
        </w:rPr>
      </w:pPr>
      <w:r w:rsidRPr="00CC3AE5">
        <w:rPr>
          <w:rFonts w:ascii="Times New Roman Bold" w:hAnsi="Times New Roman Bold"/>
          <w:b/>
          <w:caps/>
          <w:color w:val="1D1B11" w:themeColor="background2" w:themeShade="1A"/>
          <w:szCs w:val="24"/>
        </w:rPr>
        <w:t>Preliminary Due Diligence List (Existing Resources)</w:t>
      </w:r>
    </w:p>
    <w:p w14:paraId="43F14EFF" w14:textId="77777777" w:rsidR="00ED750B" w:rsidRPr="00CC3AE5" w:rsidRDefault="00ED750B" w:rsidP="00ED750B">
      <w:pPr>
        <w:rPr>
          <w:b/>
          <w:color w:val="1D1B11" w:themeColor="background2" w:themeShade="1A"/>
          <w:sz w:val="28"/>
          <w:szCs w:val="28"/>
        </w:rPr>
      </w:pPr>
    </w:p>
    <w:p w14:paraId="43F14F00" w14:textId="77777777" w:rsidR="00ED750B" w:rsidRPr="00CC3AE5" w:rsidRDefault="00ED750B" w:rsidP="00ED750B">
      <w:pPr>
        <w:rPr>
          <w:color w:val="1D1B11" w:themeColor="background2" w:themeShade="1A"/>
        </w:rPr>
      </w:pPr>
    </w:p>
    <w:p w14:paraId="43F14F01" w14:textId="4A4FD532" w:rsidR="00ED750B" w:rsidRPr="00CC3AE5" w:rsidRDefault="00ED750B" w:rsidP="00ED750B">
      <w:pPr>
        <w:rPr>
          <w:color w:val="1D1B11" w:themeColor="background2" w:themeShade="1A"/>
        </w:rPr>
      </w:pPr>
      <w:r w:rsidRPr="00CC3AE5">
        <w:rPr>
          <w:color w:val="1D1B11" w:themeColor="background2" w:themeShade="1A"/>
        </w:rPr>
        <w:t xml:space="preserve">Bidders who intend to submit a proposal in the RFP based upon an existing resource must provide a comprehensive response to each question set forth in this Appendix C-2.  Bidders should respond to any question that does not apply to the proposed existing resource with an “N/A” or “not applicable.”  </w:t>
      </w:r>
      <w:r w:rsidRPr="00CC3AE5">
        <w:rPr>
          <w:b/>
          <w:color w:val="1D1B11" w:themeColor="background2" w:themeShade="1A"/>
        </w:rPr>
        <w:t xml:space="preserve">Bidders must respond to each question by 5:00 pm CPT on the Proposal Submission Deadline.  </w:t>
      </w:r>
      <w:r w:rsidRPr="00CC3AE5">
        <w:rPr>
          <w:color w:val="1D1B11" w:themeColor="background2" w:themeShade="1A"/>
        </w:rPr>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43F14F02" w14:textId="77777777" w:rsidR="00ED750B" w:rsidRPr="00CC3AE5" w:rsidRDefault="00ED750B" w:rsidP="00ED750B">
      <w:pPr>
        <w:rPr>
          <w:color w:val="1D1B11" w:themeColor="background2" w:themeShade="1A"/>
        </w:rPr>
      </w:pPr>
    </w:p>
    <w:p w14:paraId="43F14F03" w14:textId="62D84724" w:rsidR="00ED750B" w:rsidRPr="00CC3AE5" w:rsidRDefault="00ED750B" w:rsidP="00ED750B">
      <w:pPr>
        <w:rPr>
          <w:color w:val="1D1B11" w:themeColor="background2" w:themeShade="1A"/>
          <w:sz w:val="22"/>
        </w:rPr>
      </w:pPr>
      <w:r w:rsidRPr="00CC3AE5">
        <w:rPr>
          <w:color w:val="1D1B11" w:themeColor="background2" w:themeShade="1A"/>
          <w:szCs w:val="24"/>
        </w:rPr>
        <w:t>If selected for the Preliminary Shortlist, Bidder’s complete responses to this Appendix C-2 and more detailed information that may be requested by E</w:t>
      </w:r>
      <w:r w:rsidR="00C26332" w:rsidRPr="00CC3AE5">
        <w:rPr>
          <w:color w:val="1D1B11" w:themeColor="background2" w:themeShade="1A"/>
          <w:szCs w:val="24"/>
        </w:rPr>
        <w:t>S</w:t>
      </w:r>
      <w:r w:rsidRPr="00CC3AE5">
        <w:rPr>
          <w:color w:val="1D1B11" w:themeColor="background2" w:themeShade="1A"/>
          <w:szCs w:val="24"/>
        </w:rPr>
        <w:t xml:space="preserve">I will be required to be provided to the RFP Administrator no later than one week of the notice and request.  Failure to provide a comprehensive response could negatively affect a proposal’s overall viability ranking.  </w:t>
      </w:r>
      <w:r w:rsidRPr="00CC3AE5">
        <w:rPr>
          <w:color w:val="1D1B11" w:themeColor="background2" w:themeShade="1A"/>
        </w:rPr>
        <w:t>Bidders should keep in mind that this Appendix C-2 is not a prescriptive list of requirements for its facility, but instead is a list of items that the RFP evaluation teams will use to assess the viability of individual resources.  Any item requested in this Appendix C-2 that is not available, not presently known, or not otherwise provided by Bidder may count against its final viability score, but will not necessarily, in and of itself, cause its proposal to be declared non-conforming.</w:t>
      </w:r>
      <w:r w:rsidRPr="00CC3AE5">
        <w:rPr>
          <w:color w:val="1D1B11" w:themeColor="background2" w:themeShade="1A"/>
          <w:sz w:val="22"/>
        </w:rPr>
        <w:t xml:space="preserve"> </w:t>
      </w:r>
    </w:p>
    <w:p w14:paraId="43F14F08" w14:textId="44153311" w:rsidR="00ED750B" w:rsidRPr="00CC3AE5" w:rsidRDefault="00ED750B" w:rsidP="00ED750B">
      <w:pPr>
        <w:pStyle w:val="Title"/>
        <w:rPr>
          <w:color w:val="1D1B11" w:themeColor="background2" w:themeShade="1A"/>
          <w:szCs w:val="28"/>
        </w:rPr>
      </w:pPr>
    </w:p>
    <w:p w14:paraId="43F14F09" w14:textId="77777777" w:rsidR="00ED750B" w:rsidRPr="00CC3AE5" w:rsidRDefault="00ED750B" w:rsidP="00ED750B">
      <w:pPr>
        <w:numPr>
          <w:ilvl w:val="0"/>
          <w:numId w:val="3"/>
        </w:numPr>
        <w:tabs>
          <w:tab w:val="right" w:pos="8460"/>
        </w:tabs>
        <w:rPr>
          <w:b/>
          <w:color w:val="1D1B11" w:themeColor="background2" w:themeShade="1A"/>
          <w:szCs w:val="24"/>
        </w:rPr>
      </w:pPr>
      <w:r w:rsidRPr="00CC3AE5">
        <w:rPr>
          <w:b/>
          <w:color w:val="1D1B11" w:themeColor="background2" w:themeShade="1A"/>
          <w:szCs w:val="24"/>
        </w:rPr>
        <w:t>Resource Overview and Market Experience</w:t>
      </w:r>
    </w:p>
    <w:p w14:paraId="43F14F0B" w14:textId="3E3AD54E" w:rsidR="00ED750B" w:rsidRPr="00CC3AE5" w:rsidRDefault="00ED750B" w:rsidP="006A7286">
      <w:pPr>
        <w:numPr>
          <w:ilvl w:val="1"/>
          <w:numId w:val="3"/>
        </w:numPr>
        <w:tabs>
          <w:tab w:val="left" w:pos="3420"/>
          <w:tab w:val="right" w:pos="8460"/>
        </w:tabs>
        <w:rPr>
          <w:color w:val="1D1B11" w:themeColor="background2" w:themeShade="1A"/>
          <w:szCs w:val="24"/>
        </w:rPr>
      </w:pPr>
      <w:r w:rsidRPr="00CC3AE5">
        <w:rPr>
          <w:color w:val="1D1B11" w:themeColor="background2" w:themeShade="1A"/>
          <w:szCs w:val="24"/>
        </w:rPr>
        <w:t>Bidder must provide a thorough summary description of the resource, including, but not limited to, the location, site description,</w:t>
      </w:r>
      <w:r w:rsidR="006A7286" w:rsidRPr="00CC3AE5">
        <w:rPr>
          <w:color w:val="1D1B11" w:themeColor="background2" w:themeShade="1A"/>
          <w:szCs w:val="24"/>
        </w:rPr>
        <w:t xml:space="preserve"> nameplate capacity and the capacity of the proposed Facility at Summer Conditions, technology</w:t>
      </w:r>
      <w:r w:rsidR="00F01A9D" w:rsidRPr="00CC3AE5">
        <w:rPr>
          <w:color w:val="1D1B11" w:themeColor="background2" w:themeShade="1A"/>
          <w:szCs w:val="24"/>
        </w:rPr>
        <w:t>,</w:t>
      </w:r>
      <w:r w:rsidRPr="00CC3AE5">
        <w:rPr>
          <w:color w:val="1D1B11" w:themeColor="background2" w:themeShade="1A"/>
          <w:szCs w:val="24"/>
        </w:rPr>
        <w:t xml:space="preserve"> technology/generating equipment, water source(s), and fuel source(s). Anything provided in the summary should not otherwise limit Bidder’s response to any of the requirements below.</w:t>
      </w:r>
    </w:p>
    <w:p w14:paraId="43F14F0C" w14:textId="77777777" w:rsidR="00ED750B" w:rsidRPr="00CC3AE5" w:rsidRDefault="00ED750B" w:rsidP="00ED750B">
      <w:pPr>
        <w:tabs>
          <w:tab w:val="left" w:pos="3420"/>
          <w:tab w:val="right" w:pos="8460"/>
        </w:tabs>
        <w:ind w:left="720"/>
        <w:rPr>
          <w:color w:val="1D1B11" w:themeColor="background2" w:themeShade="1A"/>
          <w:szCs w:val="24"/>
        </w:rPr>
      </w:pPr>
    </w:p>
    <w:p w14:paraId="43F14F0D" w14:textId="35DDD6E5" w:rsidR="00ED750B" w:rsidRPr="00CC3AE5" w:rsidRDefault="00ED750B" w:rsidP="009011B6">
      <w:pPr>
        <w:numPr>
          <w:ilvl w:val="1"/>
          <w:numId w:val="3"/>
        </w:numPr>
        <w:tabs>
          <w:tab w:val="left" w:pos="3420"/>
          <w:tab w:val="right" w:pos="8460"/>
        </w:tabs>
        <w:rPr>
          <w:color w:val="1D1B11" w:themeColor="background2" w:themeShade="1A"/>
          <w:szCs w:val="24"/>
        </w:rPr>
      </w:pPr>
      <w:r w:rsidRPr="00CC3AE5">
        <w:rPr>
          <w:color w:val="1D1B11" w:themeColor="background2" w:themeShade="1A"/>
          <w:szCs w:val="24"/>
        </w:rPr>
        <w:t>In detail, please describe Bidders experience within MISO</w:t>
      </w:r>
    </w:p>
    <w:p w14:paraId="43F14F0E" w14:textId="77777777" w:rsidR="00ED750B" w:rsidRPr="00CC3AE5" w:rsidRDefault="00ED750B" w:rsidP="009011B6">
      <w:pPr>
        <w:tabs>
          <w:tab w:val="left" w:pos="3420"/>
          <w:tab w:val="right" w:pos="8460"/>
        </w:tabs>
        <w:ind w:left="1080"/>
        <w:rPr>
          <w:color w:val="1D1B11" w:themeColor="background2" w:themeShade="1A"/>
          <w:szCs w:val="24"/>
        </w:rPr>
      </w:pPr>
    </w:p>
    <w:p w14:paraId="43F14F0F" w14:textId="77777777" w:rsidR="00ED750B" w:rsidRPr="00CC3AE5" w:rsidRDefault="00ED750B" w:rsidP="009011B6">
      <w:pPr>
        <w:numPr>
          <w:ilvl w:val="1"/>
          <w:numId w:val="3"/>
        </w:numPr>
        <w:tabs>
          <w:tab w:val="left" w:pos="3420"/>
          <w:tab w:val="right" w:pos="8460"/>
        </w:tabs>
        <w:rPr>
          <w:color w:val="1D1B11" w:themeColor="background2" w:themeShade="1A"/>
          <w:szCs w:val="24"/>
        </w:rPr>
      </w:pPr>
      <w:r w:rsidRPr="00CC3AE5">
        <w:rPr>
          <w:color w:val="1D1B11" w:themeColor="background2" w:themeShade="1A"/>
          <w:szCs w:val="24"/>
        </w:rPr>
        <w:t>Please provide a list and summary of all power supply contracts (including ancillary services).</w:t>
      </w:r>
    </w:p>
    <w:p w14:paraId="43F14F10" w14:textId="77777777" w:rsidR="00ED750B" w:rsidRPr="00CC3AE5" w:rsidRDefault="00ED750B" w:rsidP="009011B6">
      <w:pPr>
        <w:tabs>
          <w:tab w:val="left" w:pos="3420"/>
          <w:tab w:val="right" w:pos="8460"/>
        </w:tabs>
        <w:ind w:left="1080"/>
        <w:rPr>
          <w:color w:val="1D1B11" w:themeColor="background2" w:themeShade="1A"/>
          <w:szCs w:val="24"/>
        </w:rPr>
      </w:pPr>
    </w:p>
    <w:p w14:paraId="43F14F11" w14:textId="77777777" w:rsidR="00ED750B" w:rsidRPr="00CC3AE5" w:rsidRDefault="00ED750B" w:rsidP="009011B6">
      <w:pPr>
        <w:numPr>
          <w:ilvl w:val="1"/>
          <w:numId w:val="3"/>
        </w:numPr>
        <w:tabs>
          <w:tab w:val="left" w:pos="3420"/>
          <w:tab w:val="right" w:pos="8460"/>
        </w:tabs>
        <w:rPr>
          <w:color w:val="1D1B11" w:themeColor="background2" w:themeShade="1A"/>
          <w:szCs w:val="24"/>
        </w:rPr>
      </w:pPr>
      <w:r w:rsidRPr="00CC3AE5">
        <w:rPr>
          <w:color w:val="1D1B11" w:themeColor="background2" w:themeShade="1A"/>
          <w:szCs w:val="24"/>
        </w:rPr>
        <w:t>Please provide a summary of the ownership or joint ownership of the resource.</w:t>
      </w:r>
    </w:p>
    <w:p w14:paraId="43F14F12" w14:textId="77777777" w:rsidR="00ED750B" w:rsidRPr="00CC3AE5" w:rsidRDefault="00ED750B" w:rsidP="00ED750B">
      <w:pPr>
        <w:tabs>
          <w:tab w:val="left" w:pos="3420"/>
          <w:tab w:val="right" w:pos="8460"/>
        </w:tabs>
        <w:ind w:left="720"/>
        <w:rPr>
          <w:b/>
          <w:caps/>
          <w:color w:val="1D1B11" w:themeColor="background2" w:themeShade="1A"/>
          <w:szCs w:val="24"/>
        </w:rPr>
      </w:pPr>
    </w:p>
    <w:p w14:paraId="43F14F13" w14:textId="77777777" w:rsidR="00ED750B" w:rsidRPr="00CC3AE5" w:rsidRDefault="00ED750B" w:rsidP="00ED750B">
      <w:pPr>
        <w:numPr>
          <w:ilvl w:val="0"/>
          <w:numId w:val="3"/>
        </w:numPr>
        <w:tabs>
          <w:tab w:val="left" w:pos="1440"/>
          <w:tab w:val="left" w:pos="2160"/>
          <w:tab w:val="left" w:pos="3420"/>
          <w:tab w:val="right" w:pos="8460"/>
        </w:tabs>
        <w:rPr>
          <w:b/>
          <w:color w:val="1D1B11" w:themeColor="background2" w:themeShade="1A"/>
          <w:szCs w:val="24"/>
        </w:rPr>
      </w:pPr>
      <w:r w:rsidRPr="00CC3AE5">
        <w:rPr>
          <w:b/>
          <w:color w:val="1D1B11" w:themeColor="background2" w:themeShade="1A"/>
          <w:szCs w:val="24"/>
        </w:rPr>
        <w:t>Environmental</w:t>
      </w:r>
    </w:p>
    <w:p w14:paraId="43F14F15" w14:textId="26C3BD1D"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Does you</w:t>
      </w:r>
      <w:r w:rsidR="00F01A9D" w:rsidRPr="00CC3AE5">
        <w:rPr>
          <w:color w:val="1D1B11" w:themeColor="background2" w:themeShade="1A"/>
          <w:szCs w:val="24"/>
        </w:rPr>
        <w:t>r</w:t>
      </w:r>
      <w:r w:rsidRPr="00CC3AE5">
        <w:rPr>
          <w:color w:val="1D1B11" w:themeColor="background2" w:themeShade="1A"/>
          <w:szCs w:val="24"/>
        </w:rPr>
        <w:t xml:space="preserve"> facility have an Environmental Management System in place?  If so please describe the system in detail.</w:t>
      </w:r>
    </w:p>
    <w:p w14:paraId="43F14F16"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17"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a list and summary of any potentially contaminated activities at or nearby the facility/site that may have been identified or that Bidder may be aware of</w:t>
      </w:r>
    </w:p>
    <w:p w14:paraId="43F14F18"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19"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lastRenderedPageBreak/>
        <w:t>Provide a list and summary of all environmental permits/registrations, including any federal, state or municipal permits issued related to the facility or site</w:t>
      </w:r>
    </w:p>
    <w:p w14:paraId="43F14F1A"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1B"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Describe any pending permit-renewal proceedings, any pending requests for modification, and any expected hurdles to re-issuance</w:t>
      </w:r>
    </w:p>
    <w:p w14:paraId="43F14F1C"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1D"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copies of any past or current environmental site assessments, including any draft and final reports of investigations or remediation studies of site or facility conditions, regarding past or current environmental conditions whether prepared on behalf of the owner or in the owner’s possession or control</w:t>
      </w:r>
    </w:p>
    <w:p w14:paraId="43F14F1E"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1F"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Describe the facility’s environmental performance over the past five years (</w:t>
      </w:r>
      <w:r w:rsidRPr="00CC3AE5">
        <w:rPr>
          <w:i/>
          <w:color w:val="1D1B11" w:themeColor="background2" w:themeShade="1A"/>
          <w:szCs w:val="24"/>
        </w:rPr>
        <w:t>i.e.</w:t>
      </w:r>
      <w:r w:rsidRPr="00CC3AE5">
        <w:rPr>
          <w:color w:val="1D1B11" w:themeColor="background2" w:themeShade="1A"/>
          <w:szCs w:val="24"/>
        </w:rPr>
        <w:t>, annual wastewater violations, excess air emissions unrelated to startup and shutdown, reportable spills and releases)</w:t>
      </w:r>
    </w:p>
    <w:p w14:paraId="43F14F20"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21"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Has the site or facility been evaluated for a change in operations or alteration, including start-up and shut-down emissions and any expansion?  If so, state whether any environmental review of the alteration has been undertaken by the owners or requested by or submitted to any government agency.  Provide copies of all relevant documents, including any assessment, form, statement, or environmental report, and specify the status of such document(s) and the process</w:t>
      </w:r>
    </w:p>
    <w:p w14:paraId="43F14F22"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23"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a list of all groundwater monitoring or production wells at the site or facility and provide copies of state registrations for each well. Additionally, provide copies of geological and hydro geological maps that provide details of the soil and groundwater underneath the plant</w:t>
      </w:r>
    </w:p>
    <w:p w14:paraId="43F14F24" w14:textId="77777777" w:rsidR="00ED750B" w:rsidRPr="00CC3AE5" w:rsidRDefault="00ED750B" w:rsidP="00ED750B">
      <w:pPr>
        <w:tabs>
          <w:tab w:val="left" w:pos="720"/>
          <w:tab w:val="right" w:pos="8460"/>
        </w:tabs>
        <w:ind w:left="360"/>
        <w:rPr>
          <w:b/>
          <w:caps/>
          <w:color w:val="1D1B11" w:themeColor="background2" w:themeShade="1A"/>
          <w:szCs w:val="24"/>
        </w:rPr>
      </w:pPr>
    </w:p>
    <w:p w14:paraId="43F14F25" w14:textId="77777777" w:rsidR="00ED750B" w:rsidRPr="00CC3AE5" w:rsidRDefault="00ED750B" w:rsidP="00ED750B">
      <w:pPr>
        <w:numPr>
          <w:ilvl w:val="0"/>
          <w:numId w:val="3"/>
        </w:numPr>
        <w:tabs>
          <w:tab w:val="left" w:pos="1440"/>
          <w:tab w:val="left" w:pos="3420"/>
          <w:tab w:val="right" w:pos="8460"/>
        </w:tabs>
        <w:rPr>
          <w:b/>
          <w:color w:val="1D1B11" w:themeColor="background2" w:themeShade="1A"/>
          <w:szCs w:val="24"/>
        </w:rPr>
      </w:pPr>
      <w:r w:rsidRPr="00CC3AE5">
        <w:rPr>
          <w:b/>
          <w:color w:val="1D1B11" w:themeColor="background2" w:themeShade="1A"/>
          <w:szCs w:val="24"/>
        </w:rPr>
        <w:t>Transmission</w:t>
      </w:r>
    </w:p>
    <w:p w14:paraId="43F14F27" w14:textId="1C9E20F7" w:rsidR="00ED750B" w:rsidRPr="00CC3AE5" w:rsidRDefault="00ED750B" w:rsidP="00ED750B">
      <w:pPr>
        <w:tabs>
          <w:tab w:val="left" w:pos="1440"/>
          <w:tab w:val="left" w:pos="3420"/>
          <w:tab w:val="right" w:pos="8460"/>
        </w:tabs>
        <w:ind w:left="360"/>
        <w:rPr>
          <w:color w:val="1D1B11" w:themeColor="background2" w:themeShade="1A"/>
          <w:szCs w:val="24"/>
          <w:u w:val="single"/>
        </w:rPr>
      </w:pPr>
      <w:r w:rsidRPr="00CC3AE5">
        <w:rPr>
          <w:color w:val="1D1B11" w:themeColor="background2" w:themeShade="1A"/>
          <w:szCs w:val="24"/>
          <w:u w:val="single"/>
        </w:rPr>
        <w:t>Interconnection</w:t>
      </w:r>
    </w:p>
    <w:p w14:paraId="43F14F28" w14:textId="77777777" w:rsidR="00ED750B" w:rsidRPr="00CC3AE5" w:rsidRDefault="00ED750B" w:rsidP="00ED750B">
      <w:pPr>
        <w:tabs>
          <w:tab w:val="left" w:pos="1440"/>
          <w:tab w:val="left" w:pos="3420"/>
          <w:tab w:val="right" w:pos="8460"/>
        </w:tabs>
        <w:rPr>
          <w:b/>
          <w:color w:val="1D1B11" w:themeColor="background2" w:themeShade="1A"/>
          <w:szCs w:val="24"/>
        </w:rPr>
      </w:pPr>
    </w:p>
    <w:p w14:paraId="43F14F29"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Description of interconnection facilities</w:t>
      </w:r>
    </w:p>
    <w:p w14:paraId="43F14F2A"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2B"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Maximum generator/facility capability as studied in the generator interconnection agreement (PMAX Value)</w:t>
      </w:r>
    </w:p>
    <w:p w14:paraId="43F14F2C"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2D"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Interconnection Agreements</w:t>
      </w:r>
    </w:p>
    <w:p w14:paraId="43F14F2E"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Current status of interconnection agreement including status of any pending interconnection requests (including for ERIS) and any interconnection-related upgrades associated with those requests.</w:t>
      </w:r>
    </w:p>
    <w:p w14:paraId="43F14F2F"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 xml:space="preserve">List of mandatory thermal, stability and short circuit upgrades along with cost and time frames to implement the mitigation.  </w:t>
      </w:r>
      <w:r w:rsidRPr="00CC3AE5">
        <w:rPr>
          <w:i/>
          <w:color w:val="1D1B11" w:themeColor="background2" w:themeShade="1A"/>
          <w:szCs w:val="24"/>
        </w:rPr>
        <w:t>(Based upon facility study, if completed and available.)</w:t>
      </w:r>
    </w:p>
    <w:p w14:paraId="43F14F31" w14:textId="77777777" w:rsidR="00A41FB1" w:rsidRPr="00CC3AE5" w:rsidRDefault="00A41FB1" w:rsidP="00ED750B">
      <w:pPr>
        <w:tabs>
          <w:tab w:val="left" w:pos="720"/>
          <w:tab w:val="left" w:pos="3420"/>
          <w:tab w:val="right" w:pos="8460"/>
        </w:tabs>
        <w:ind w:left="360"/>
        <w:rPr>
          <w:color w:val="1D1B11" w:themeColor="background2" w:themeShade="1A"/>
          <w:szCs w:val="24"/>
          <w:u w:val="single"/>
        </w:rPr>
      </w:pPr>
    </w:p>
    <w:p w14:paraId="43F14F32" w14:textId="77777777" w:rsidR="00ED750B" w:rsidRPr="00CC3AE5" w:rsidRDefault="00ED750B" w:rsidP="00ED750B">
      <w:pPr>
        <w:tabs>
          <w:tab w:val="left" w:pos="720"/>
          <w:tab w:val="left" w:pos="3420"/>
          <w:tab w:val="right" w:pos="8460"/>
        </w:tabs>
        <w:ind w:left="360"/>
        <w:rPr>
          <w:color w:val="1D1B11" w:themeColor="background2" w:themeShade="1A"/>
          <w:szCs w:val="24"/>
          <w:u w:val="single"/>
        </w:rPr>
      </w:pPr>
      <w:r w:rsidRPr="00CC3AE5">
        <w:rPr>
          <w:color w:val="1D1B11" w:themeColor="background2" w:themeShade="1A"/>
          <w:szCs w:val="24"/>
          <w:u w:val="single"/>
        </w:rPr>
        <w:lastRenderedPageBreak/>
        <w:t>Network Service</w:t>
      </w:r>
    </w:p>
    <w:p w14:paraId="43F14F33" w14:textId="77777777" w:rsidR="00ED750B" w:rsidRPr="00CC3AE5" w:rsidRDefault="00ED750B" w:rsidP="00ED750B">
      <w:pPr>
        <w:tabs>
          <w:tab w:val="left" w:pos="3420"/>
          <w:tab w:val="right" w:pos="8460"/>
        </w:tabs>
        <w:ind w:firstLine="60"/>
        <w:rPr>
          <w:color w:val="1D1B11" w:themeColor="background2" w:themeShade="1A"/>
          <w:szCs w:val="24"/>
        </w:rPr>
      </w:pPr>
    </w:p>
    <w:p w14:paraId="43F14F34" w14:textId="1A89D1A8"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any information available that will help E</w:t>
      </w:r>
      <w:r w:rsidR="00C26332" w:rsidRPr="00CC3AE5">
        <w:rPr>
          <w:color w:val="1D1B11" w:themeColor="background2" w:themeShade="1A"/>
          <w:szCs w:val="24"/>
        </w:rPr>
        <w:t>S</w:t>
      </w:r>
      <w:r w:rsidRPr="00CC3AE5">
        <w:rPr>
          <w:color w:val="1D1B11" w:themeColor="background2" w:themeShade="1A"/>
          <w:szCs w:val="24"/>
        </w:rPr>
        <w:t xml:space="preserve">I evaluate the ability of the Bidder to qualify the facility (or portion thereof) as a Long-Term Network Resource in MISO </w:t>
      </w:r>
    </w:p>
    <w:p w14:paraId="3417C287" w14:textId="77777777" w:rsidR="00ED73CC" w:rsidRPr="00CC3AE5" w:rsidRDefault="00ED73CC" w:rsidP="00A32541">
      <w:pPr>
        <w:tabs>
          <w:tab w:val="left" w:pos="1080"/>
          <w:tab w:val="left" w:pos="3420"/>
          <w:tab w:val="right" w:pos="8460"/>
        </w:tabs>
        <w:ind w:left="1080"/>
        <w:rPr>
          <w:color w:val="1D1B11" w:themeColor="background2" w:themeShade="1A"/>
          <w:szCs w:val="24"/>
        </w:rPr>
      </w:pPr>
    </w:p>
    <w:p w14:paraId="43F14F35"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a description and details of any existing NRIS</w:t>
      </w:r>
    </w:p>
    <w:p w14:paraId="43F14F36" w14:textId="77777777" w:rsidR="00ED750B" w:rsidRPr="00CC3AE5" w:rsidRDefault="00ED750B" w:rsidP="00ED750B">
      <w:pPr>
        <w:pStyle w:val="ListParagraph"/>
        <w:rPr>
          <w:color w:val="1D1B11" w:themeColor="background2" w:themeShade="1A"/>
          <w:szCs w:val="24"/>
        </w:rPr>
      </w:pPr>
    </w:p>
    <w:p w14:paraId="43F14F37"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any details that are available about any past system impact studies or facility studies for NRIS for the facility</w:t>
      </w:r>
    </w:p>
    <w:p w14:paraId="43F14F38"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39"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details regarding any RTO-sponsored deliverability studies from the facility</w:t>
      </w:r>
    </w:p>
    <w:p w14:paraId="43F14F3A" w14:textId="77777777" w:rsidR="00ED750B" w:rsidRPr="00CC3AE5" w:rsidRDefault="00ED750B" w:rsidP="00ED750B">
      <w:pPr>
        <w:tabs>
          <w:tab w:val="left" w:pos="1080"/>
          <w:tab w:val="left" w:pos="3420"/>
          <w:tab w:val="right" w:pos="8460"/>
        </w:tabs>
        <w:rPr>
          <w:color w:val="1D1B11" w:themeColor="background2" w:themeShade="1A"/>
          <w:szCs w:val="24"/>
        </w:rPr>
      </w:pPr>
    </w:p>
    <w:p w14:paraId="43F14F3B"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details regarding any pending requests for NRIS for the facility</w:t>
      </w:r>
    </w:p>
    <w:p w14:paraId="43F14F3C" w14:textId="77777777" w:rsidR="00ED750B" w:rsidRPr="00CC3AE5" w:rsidRDefault="00ED750B" w:rsidP="00ED750B">
      <w:pPr>
        <w:pStyle w:val="ListParagraph"/>
        <w:rPr>
          <w:color w:val="1D1B11" w:themeColor="background2" w:themeShade="1A"/>
          <w:szCs w:val="24"/>
        </w:rPr>
      </w:pPr>
    </w:p>
    <w:p w14:paraId="43F14F3D"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Provide a description of any and all NRIS that will be needed for the facility as well as the timing requirements to secure that service</w:t>
      </w:r>
    </w:p>
    <w:p w14:paraId="43F14F3E" w14:textId="77777777" w:rsidR="00ED750B" w:rsidRPr="00CC3AE5" w:rsidRDefault="00ED750B" w:rsidP="00ED750B">
      <w:pPr>
        <w:pStyle w:val="ListParagraph"/>
        <w:rPr>
          <w:color w:val="1D1B11" w:themeColor="background2" w:themeShade="1A"/>
          <w:szCs w:val="24"/>
        </w:rPr>
      </w:pPr>
    </w:p>
    <w:p w14:paraId="43F14F3F" w14:textId="77777777" w:rsidR="00ED750B" w:rsidRPr="00CC3AE5" w:rsidRDefault="00ED750B" w:rsidP="00ED750B">
      <w:pPr>
        <w:numPr>
          <w:ilvl w:val="0"/>
          <w:numId w:val="3"/>
        </w:numPr>
        <w:tabs>
          <w:tab w:val="left" w:pos="1440"/>
          <w:tab w:val="left" w:pos="2160"/>
          <w:tab w:val="left" w:pos="3420"/>
          <w:tab w:val="right" w:pos="8460"/>
        </w:tabs>
        <w:rPr>
          <w:b/>
          <w:color w:val="1D1B11" w:themeColor="background2" w:themeShade="1A"/>
          <w:szCs w:val="24"/>
        </w:rPr>
      </w:pPr>
      <w:r w:rsidRPr="00CC3AE5">
        <w:rPr>
          <w:b/>
          <w:color w:val="1D1B11" w:themeColor="background2" w:themeShade="1A"/>
          <w:szCs w:val="24"/>
        </w:rPr>
        <w:t xml:space="preserve">Financial Information </w:t>
      </w:r>
    </w:p>
    <w:p w14:paraId="43F14F41" w14:textId="07532AD0"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Current ownership structure</w:t>
      </w:r>
    </w:p>
    <w:p w14:paraId="43F14F42"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43"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List of plant-specific debt instruments; credit agreements, indentures, letters of credit, reimbursement agreements, guarantees, indemnity or assumption agreements and agreements relating to contingent obligations and any amendments thereto; security or pledge agreements and any agreements or instruments evidencing a lien or encumbrance on or other right with respect to any of the assets of the plant.</w:t>
      </w:r>
    </w:p>
    <w:p w14:paraId="43F14F44"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45" w14:textId="343CD1EE"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Financial statements for the past t</w:t>
      </w:r>
      <w:r w:rsidR="00521339" w:rsidRPr="00CC3AE5">
        <w:rPr>
          <w:color w:val="1D1B11" w:themeColor="background2" w:themeShade="1A"/>
          <w:szCs w:val="24"/>
        </w:rPr>
        <w:t>wo</w:t>
      </w:r>
      <w:r w:rsidRPr="00CC3AE5">
        <w:rPr>
          <w:color w:val="1D1B11" w:themeColor="background2" w:themeShade="1A"/>
          <w:szCs w:val="24"/>
        </w:rPr>
        <w:t xml:space="preserve"> years for the Bidder and/or the Bidder’s Credit Support Provider; including balance sheet, income statement and cash flow along with the long-term debt structure. </w:t>
      </w:r>
    </w:p>
    <w:p w14:paraId="43F14F46"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47"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 xml:space="preserve">Any ratings (if available) from the major ratings agencies, S&amp;P or Moody’s. </w:t>
      </w:r>
    </w:p>
    <w:p w14:paraId="43F14F48"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49"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Lien information that might impact the credit worthiness of the Bidder and/or the Bidder’s credit support provider.</w:t>
      </w:r>
    </w:p>
    <w:p w14:paraId="43F14F4A"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4B"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and summary of any material contracts/commitments not otherwise requested and any amendments thereto.</w:t>
      </w:r>
    </w:p>
    <w:p w14:paraId="43F14F4C"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4D"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and summary of any pending claims, actions, disputes or other proceedings currently pending or threatened against the resource.</w:t>
      </w:r>
    </w:p>
    <w:p w14:paraId="43F14F4E"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4F"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and summary of all bankruptcy court orders, including the order discharging the project and debtor from the bankruptcy proceedings</w:t>
      </w:r>
    </w:p>
    <w:p w14:paraId="43F14F50"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51"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and summary of project contracts not rejected during the bankruptcy proceedings and still in effect, in any</w:t>
      </w:r>
    </w:p>
    <w:p w14:paraId="43F14F52"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53"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Advise as to whether any project funds are subject to a constructive trust or equitable lien in favor of third parties (per ruling of bankruptcy court)</w:t>
      </w:r>
    </w:p>
    <w:p w14:paraId="43F14F54"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55"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and summary of any pending claims, actions, disputes or other proceedings currently pending or threatened against the project</w:t>
      </w:r>
    </w:p>
    <w:p w14:paraId="43F14F56"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57"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 xml:space="preserve">A list and summary of contracts rejected by the debtor/project and terminated during the bankruptcy proceedings </w:t>
      </w:r>
    </w:p>
    <w:p w14:paraId="43F14F58" w14:textId="77777777" w:rsidR="00ED750B" w:rsidRPr="00CC3AE5" w:rsidRDefault="00ED750B" w:rsidP="00ED750B">
      <w:pPr>
        <w:tabs>
          <w:tab w:val="left" w:pos="720"/>
          <w:tab w:val="left" w:pos="3420"/>
          <w:tab w:val="right" w:pos="8460"/>
        </w:tabs>
        <w:ind w:left="360"/>
        <w:rPr>
          <w:color w:val="1D1B11" w:themeColor="background2" w:themeShade="1A"/>
          <w:szCs w:val="24"/>
        </w:rPr>
      </w:pPr>
    </w:p>
    <w:p w14:paraId="43F14F59" w14:textId="77777777" w:rsidR="00ED750B" w:rsidRPr="00CC3AE5" w:rsidRDefault="00ED750B" w:rsidP="00ED750B">
      <w:pPr>
        <w:numPr>
          <w:ilvl w:val="0"/>
          <w:numId w:val="3"/>
        </w:numPr>
        <w:tabs>
          <w:tab w:val="left" w:pos="1440"/>
          <w:tab w:val="left" w:pos="3420"/>
          <w:tab w:val="right" w:pos="8460"/>
        </w:tabs>
        <w:rPr>
          <w:b/>
          <w:color w:val="1D1B11" w:themeColor="background2" w:themeShade="1A"/>
          <w:szCs w:val="24"/>
        </w:rPr>
      </w:pPr>
      <w:r w:rsidRPr="00CC3AE5">
        <w:rPr>
          <w:b/>
          <w:color w:val="1D1B11" w:themeColor="background2" w:themeShade="1A"/>
          <w:szCs w:val="24"/>
        </w:rPr>
        <w:t>NERC/CIP Compliance</w:t>
      </w:r>
    </w:p>
    <w:p w14:paraId="43F14F5B" w14:textId="3ADB3A2A"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Information on what Regional Transmission Organization this plant was registered with and when</w:t>
      </w:r>
    </w:p>
    <w:p w14:paraId="43F14F5C"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5D"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Copy of current NERC/CIP compliance program documents pertaining to facility</w:t>
      </w:r>
    </w:p>
    <w:p w14:paraId="43F14F5E"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5F"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Copy of or explanation of any open mitigation plans and associated actions</w:t>
      </w:r>
    </w:p>
    <w:p w14:paraId="43F14F60" w14:textId="77777777" w:rsidR="00ED750B" w:rsidRPr="00CC3AE5" w:rsidRDefault="00ED750B" w:rsidP="00ED750B">
      <w:pPr>
        <w:pStyle w:val="ListParagraph"/>
        <w:rPr>
          <w:color w:val="1D1B11" w:themeColor="background2" w:themeShade="1A"/>
          <w:szCs w:val="24"/>
        </w:rPr>
      </w:pPr>
    </w:p>
    <w:p w14:paraId="43F14F61"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Copy of last audit report (public version).</w:t>
      </w:r>
    </w:p>
    <w:p w14:paraId="43F14F62" w14:textId="77777777" w:rsidR="00ED750B" w:rsidRPr="00CC3AE5" w:rsidRDefault="00ED750B" w:rsidP="00ED750B">
      <w:pPr>
        <w:pStyle w:val="ListParagraph"/>
        <w:rPr>
          <w:color w:val="1D1B11" w:themeColor="background2" w:themeShade="1A"/>
          <w:szCs w:val="24"/>
        </w:rPr>
      </w:pPr>
    </w:p>
    <w:p w14:paraId="43F14F63" w14:textId="77777777" w:rsidR="00ED750B" w:rsidRPr="00CC3AE5" w:rsidRDefault="00ED750B" w:rsidP="00ED750B">
      <w:pPr>
        <w:numPr>
          <w:ilvl w:val="0"/>
          <w:numId w:val="3"/>
        </w:numPr>
        <w:tabs>
          <w:tab w:val="left" w:pos="1440"/>
          <w:tab w:val="left" w:pos="3420"/>
          <w:tab w:val="right" w:pos="8460"/>
        </w:tabs>
        <w:rPr>
          <w:b/>
          <w:color w:val="1D1B11" w:themeColor="background2" w:themeShade="1A"/>
          <w:szCs w:val="24"/>
        </w:rPr>
      </w:pPr>
      <w:r w:rsidRPr="00CC3AE5">
        <w:rPr>
          <w:b/>
          <w:color w:val="1D1B11" w:themeColor="background2" w:themeShade="1A"/>
          <w:szCs w:val="24"/>
        </w:rPr>
        <w:t xml:space="preserve">Plant and Equipment     </w:t>
      </w:r>
    </w:p>
    <w:p w14:paraId="43F14F65" w14:textId="1237083A" w:rsidR="00ED750B" w:rsidRPr="00CC3AE5" w:rsidRDefault="00ED750B" w:rsidP="00B71160">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Summary of property, plant and equipment</w:t>
      </w:r>
    </w:p>
    <w:p w14:paraId="43F14F66"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67"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Site plan and general arrangement drawings, including fuel and transportation infrastructure, inventory storage (if applicable) and one line diagrams</w:t>
      </w:r>
    </w:p>
    <w:p w14:paraId="43F14F68"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69"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Station description and major equipment list (</w:t>
      </w:r>
      <w:r w:rsidRPr="00CC3AE5">
        <w:rPr>
          <w:i/>
          <w:color w:val="1D1B11" w:themeColor="background2" w:themeShade="1A"/>
          <w:szCs w:val="24"/>
        </w:rPr>
        <w:t>e.g.</w:t>
      </w:r>
      <w:r w:rsidRPr="00CC3AE5">
        <w:rPr>
          <w:color w:val="1D1B11" w:themeColor="background2" w:themeShade="1A"/>
          <w:szCs w:val="24"/>
        </w:rPr>
        <w:t>, turbines, air pollution control equipment, water supply and wastewater discharge, fuel and ash handling)</w:t>
      </w:r>
    </w:p>
    <w:p w14:paraId="43F14F6A"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6B"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Plant design life</w:t>
      </w:r>
    </w:p>
    <w:p w14:paraId="43F14F6C"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6D"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 xml:space="preserve">Operational characteristics </w:t>
      </w:r>
    </w:p>
    <w:p w14:paraId="43F14F6E"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Provide a description of the various modes of operation of the generating unit.</w:t>
      </w:r>
    </w:p>
    <w:p w14:paraId="43F14F6F"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Provide the minimum and maximum load range in each mode of operation and the limiting factor(s) for each mode.</w:t>
      </w:r>
    </w:p>
    <w:p w14:paraId="43F14F70"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Provide declared maximum and historical ramp rates over the load range for each mode of operation.</w:t>
      </w:r>
    </w:p>
    <w:p w14:paraId="43F14F71"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Provide minimum run times and the basis for the established minimum run time.</w:t>
      </w:r>
    </w:p>
    <w:p w14:paraId="43F14F72"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 xml:space="preserve">Provide a typical start-up MW and fuel usage profile versus time for each type of start-up (hot, warm and cold)  </w:t>
      </w:r>
    </w:p>
    <w:p w14:paraId="43F14F73"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lastRenderedPageBreak/>
        <w:t xml:space="preserve">Define hot, warm and cold start-up in terms of time off-line. </w:t>
      </w:r>
    </w:p>
    <w:p w14:paraId="43F14F74"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 xml:space="preserve">Provide the typical shutdown time. </w:t>
      </w:r>
    </w:p>
    <w:p w14:paraId="43F14F75"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Turbine generator ramp rate</w:t>
      </w:r>
    </w:p>
    <w:p w14:paraId="43F14F76"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Cold start time</w:t>
      </w:r>
    </w:p>
    <w:p w14:paraId="43F14F77"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Hot start time</w:t>
      </w:r>
    </w:p>
    <w:p w14:paraId="43F14F78"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Minimum down time</w:t>
      </w:r>
    </w:p>
    <w:p w14:paraId="43F14F79"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Provide the MVAR capability range of the generator. (Include ‘as tested results’)</w:t>
      </w:r>
    </w:p>
    <w:p w14:paraId="43F14F7A"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Is the unit equipped with automatic generation control (AGC)?</w:t>
      </w:r>
    </w:p>
    <w:p w14:paraId="43F14F7B"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What is the operating range of the unit under AGC?</w:t>
      </w:r>
    </w:p>
    <w:p w14:paraId="55F05F86" w14:textId="5DF8BFB3" w:rsidR="003A536B" w:rsidRPr="00CC3AE5" w:rsidRDefault="003A536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Is the Facility a QF?</w:t>
      </w:r>
    </w:p>
    <w:p w14:paraId="43F14F7C" w14:textId="77777777" w:rsidR="00ED750B" w:rsidRPr="00CC3AE5" w:rsidRDefault="00ED750B" w:rsidP="00ED750B">
      <w:pPr>
        <w:tabs>
          <w:tab w:val="left" w:pos="2160"/>
          <w:tab w:val="right" w:pos="8460"/>
        </w:tabs>
        <w:rPr>
          <w:color w:val="1D1B11" w:themeColor="background2" w:themeShade="1A"/>
          <w:szCs w:val="24"/>
        </w:rPr>
      </w:pPr>
    </w:p>
    <w:p w14:paraId="43F14F7D" w14:textId="77777777" w:rsidR="00ED750B" w:rsidRPr="00CC3AE5" w:rsidRDefault="00ED750B" w:rsidP="00ED750B">
      <w:pPr>
        <w:numPr>
          <w:ilvl w:val="0"/>
          <w:numId w:val="3"/>
        </w:numPr>
        <w:tabs>
          <w:tab w:val="left" w:pos="1440"/>
          <w:tab w:val="left" w:pos="3420"/>
          <w:tab w:val="right" w:pos="8460"/>
        </w:tabs>
        <w:rPr>
          <w:b/>
          <w:color w:val="1D1B11" w:themeColor="background2" w:themeShade="1A"/>
          <w:szCs w:val="24"/>
        </w:rPr>
      </w:pPr>
      <w:r w:rsidRPr="00CC3AE5">
        <w:rPr>
          <w:b/>
          <w:color w:val="1D1B11" w:themeColor="background2" w:themeShade="1A"/>
          <w:szCs w:val="24"/>
        </w:rPr>
        <w:t>Operations and Maintenance</w:t>
      </w:r>
    </w:p>
    <w:p w14:paraId="43F14F7F" w14:textId="1D9A1318"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O&amp;M expenses from 2012 to current, by significant category</w:t>
      </w:r>
    </w:p>
    <w:p w14:paraId="43F14F80" w14:textId="77777777" w:rsidR="00ED750B" w:rsidRPr="00CC3AE5" w:rsidRDefault="00ED750B" w:rsidP="00ED750B">
      <w:pPr>
        <w:tabs>
          <w:tab w:val="left" w:pos="2160"/>
          <w:tab w:val="right" w:pos="8460"/>
        </w:tabs>
        <w:ind w:left="1080"/>
        <w:rPr>
          <w:color w:val="1D1B11" w:themeColor="background2" w:themeShade="1A"/>
          <w:szCs w:val="24"/>
        </w:rPr>
      </w:pPr>
    </w:p>
    <w:p w14:paraId="43F14F81"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 xml:space="preserve">List the various entities that have been in charge of operation and maintenance of the plant, including any major sub-contractors to date, and provide a timeline if there have been multiple entities. </w:t>
      </w:r>
    </w:p>
    <w:p w14:paraId="43F14F82"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83"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All electric generating statistics including, but not limited to: (COD – present)</w:t>
      </w:r>
    </w:p>
    <w:p w14:paraId="43F14F85" w14:textId="0583497F" w:rsidR="00ED750B" w:rsidRPr="00CC3AE5" w:rsidRDefault="00ED750B" w:rsidP="007C07DD">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Gross, auxiliary, and net generation and (if applicable) current UCAP (or unforced capacity) and ICAP (or installed capacity) recognized by MISO Unit heat rate</w:t>
      </w:r>
    </w:p>
    <w:p w14:paraId="43F14F86"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Average annual unit heat rate</w:t>
      </w:r>
    </w:p>
    <w:p w14:paraId="43F14F87"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Actual heat rate curve (at unit minimum, 50%, 75%, unit maximum)</w:t>
      </w:r>
    </w:p>
    <w:p w14:paraId="43F14F88" w14:textId="77777777" w:rsidR="00ED750B" w:rsidRPr="00CC3AE5" w:rsidRDefault="00ED750B" w:rsidP="00ED750B">
      <w:pPr>
        <w:numPr>
          <w:ilvl w:val="3"/>
          <w:numId w:val="3"/>
        </w:numPr>
        <w:tabs>
          <w:tab w:val="clear" w:pos="2160"/>
          <w:tab w:val="right" w:pos="8460"/>
        </w:tabs>
        <w:ind w:left="3060"/>
        <w:rPr>
          <w:color w:val="1D1B11" w:themeColor="background2" w:themeShade="1A"/>
          <w:szCs w:val="24"/>
        </w:rPr>
      </w:pPr>
      <w:r w:rsidRPr="00CC3AE5">
        <w:rPr>
          <w:color w:val="1D1B11" w:themeColor="background2" w:themeShade="1A"/>
          <w:szCs w:val="24"/>
        </w:rPr>
        <w:t>Summer months</w:t>
      </w:r>
    </w:p>
    <w:p w14:paraId="43F14F89" w14:textId="77777777" w:rsidR="00ED750B" w:rsidRPr="00CC3AE5" w:rsidRDefault="00ED750B" w:rsidP="00ED750B">
      <w:pPr>
        <w:numPr>
          <w:ilvl w:val="3"/>
          <w:numId w:val="3"/>
        </w:numPr>
        <w:tabs>
          <w:tab w:val="clear" w:pos="2160"/>
          <w:tab w:val="right" w:pos="8460"/>
        </w:tabs>
        <w:ind w:left="3060"/>
        <w:rPr>
          <w:color w:val="1D1B11" w:themeColor="background2" w:themeShade="1A"/>
          <w:szCs w:val="24"/>
        </w:rPr>
      </w:pPr>
      <w:r w:rsidRPr="00CC3AE5">
        <w:rPr>
          <w:color w:val="1D1B11" w:themeColor="background2" w:themeShade="1A"/>
          <w:szCs w:val="24"/>
        </w:rPr>
        <w:t xml:space="preserve">Winter months </w:t>
      </w:r>
    </w:p>
    <w:p w14:paraId="43F14F8A" w14:textId="77777777" w:rsidR="00ED750B" w:rsidRPr="00CC3AE5" w:rsidRDefault="00ED750B" w:rsidP="00ED750B">
      <w:pPr>
        <w:numPr>
          <w:ilvl w:val="3"/>
          <w:numId w:val="3"/>
        </w:numPr>
        <w:tabs>
          <w:tab w:val="clear" w:pos="2160"/>
          <w:tab w:val="right" w:pos="8460"/>
        </w:tabs>
        <w:ind w:left="3060"/>
        <w:rPr>
          <w:color w:val="1D1B11" w:themeColor="background2" w:themeShade="1A"/>
          <w:szCs w:val="24"/>
        </w:rPr>
      </w:pPr>
      <w:r w:rsidRPr="00CC3AE5">
        <w:rPr>
          <w:color w:val="1D1B11" w:themeColor="background2" w:themeShade="1A"/>
          <w:szCs w:val="24"/>
        </w:rPr>
        <w:t xml:space="preserve">All other months </w:t>
      </w:r>
    </w:p>
    <w:p w14:paraId="43F14F8B"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Guaranteed Heat Rate Curves (at unit minimum, 50%, 75%, unit maximum)</w:t>
      </w:r>
    </w:p>
    <w:p w14:paraId="43F14F8C" w14:textId="77777777" w:rsidR="00ED750B" w:rsidRPr="00CC3AE5" w:rsidRDefault="00ED750B" w:rsidP="00ED750B">
      <w:pPr>
        <w:numPr>
          <w:ilvl w:val="3"/>
          <w:numId w:val="3"/>
        </w:numPr>
        <w:tabs>
          <w:tab w:val="clear" w:pos="2160"/>
          <w:tab w:val="right" w:pos="8460"/>
        </w:tabs>
        <w:ind w:left="3060"/>
        <w:rPr>
          <w:color w:val="1D1B11" w:themeColor="background2" w:themeShade="1A"/>
          <w:szCs w:val="24"/>
        </w:rPr>
      </w:pPr>
      <w:r w:rsidRPr="00CC3AE5">
        <w:rPr>
          <w:color w:val="1D1B11" w:themeColor="background2" w:themeShade="1A"/>
          <w:szCs w:val="24"/>
        </w:rPr>
        <w:t>Summer months</w:t>
      </w:r>
    </w:p>
    <w:p w14:paraId="43F14F8D" w14:textId="77777777" w:rsidR="00ED750B" w:rsidRPr="00CC3AE5" w:rsidRDefault="00ED750B" w:rsidP="00ED750B">
      <w:pPr>
        <w:numPr>
          <w:ilvl w:val="3"/>
          <w:numId w:val="3"/>
        </w:numPr>
        <w:tabs>
          <w:tab w:val="clear" w:pos="2160"/>
          <w:tab w:val="right" w:pos="8460"/>
        </w:tabs>
        <w:ind w:left="3060"/>
        <w:rPr>
          <w:color w:val="1D1B11" w:themeColor="background2" w:themeShade="1A"/>
          <w:szCs w:val="24"/>
        </w:rPr>
      </w:pPr>
      <w:r w:rsidRPr="00CC3AE5">
        <w:rPr>
          <w:color w:val="1D1B11" w:themeColor="background2" w:themeShade="1A"/>
          <w:szCs w:val="24"/>
        </w:rPr>
        <w:t xml:space="preserve">Winter months </w:t>
      </w:r>
    </w:p>
    <w:p w14:paraId="43F14F8E" w14:textId="77777777" w:rsidR="00ED750B" w:rsidRPr="00CC3AE5" w:rsidRDefault="00ED750B" w:rsidP="00ED750B">
      <w:pPr>
        <w:numPr>
          <w:ilvl w:val="3"/>
          <w:numId w:val="3"/>
        </w:numPr>
        <w:tabs>
          <w:tab w:val="clear" w:pos="2160"/>
          <w:tab w:val="right" w:pos="8460"/>
        </w:tabs>
        <w:ind w:left="3060"/>
        <w:rPr>
          <w:color w:val="1D1B11" w:themeColor="background2" w:themeShade="1A"/>
          <w:szCs w:val="24"/>
        </w:rPr>
      </w:pPr>
      <w:r w:rsidRPr="00CC3AE5">
        <w:rPr>
          <w:color w:val="1D1B11" w:themeColor="background2" w:themeShade="1A"/>
          <w:szCs w:val="24"/>
        </w:rPr>
        <w:t xml:space="preserve">All other months </w:t>
      </w:r>
    </w:p>
    <w:p w14:paraId="43F14F8F"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EFOR</w:t>
      </w:r>
    </w:p>
    <w:p w14:paraId="43F14F90"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Historic outage rates (forced, maintenance, planned, etc.)</w:t>
      </w:r>
    </w:p>
    <w:p w14:paraId="43F14F91"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Planned outage schedule</w:t>
      </w:r>
      <w:r w:rsidRPr="00CC3AE5" w:rsidDel="00D20C08">
        <w:rPr>
          <w:color w:val="1D1B11" w:themeColor="background2" w:themeShade="1A"/>
          <w:szCs w:val="24"/>
        </w:rPr>
        <w:t xml:space="preserve"> </w:t>
      </w:r>
    </w:p>
    <w:p w14:paraId="43F14F92"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History of planned outages major units</w:t>
      </w:r>
    </w:p>
    <w:p w14:paraId="43F14F93"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Historic service hours</w:t>
      </w:r>
    </w:p>
    <w:p w14:paraId="43F14F94"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Accredited unit capacity</w:t>
      </w:r>
    </w:p>
    <w:p w14:paraId="43F14F95"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Derate causes, time, and kWh</w:t>
      </w:r>
    </w:p>
    <w:p w14:paraId="43F14F96"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Turbine overhaul cycle (year) &amp; outage time (weeks)</w:t>
      </w:r>
    </w:p>
    <w:p w14:paraId="43F14F97" w14:textId="77777777" w:rsidR="00ED750B" w:rsidRPr="00CC3AE5" w:rsidRDefault="00ED750B" w:rsidP="00ED750B">
      <w:pPr>
        <w:tabs>
          <w:tab w:val="right" w:pos="8460"/>
        </w:tabs>
        <w:ind w:left="1980"/>
        <w:rPr>
          <w:color w:val="1D1B11" w:themeColor="background2" w:themeShade="1A"/>
          <w:szCs w:val="24"/>
        </w:rPr>
      </w:pPr>
    </w:p>
    <w:p w14:paraId="43F14F98"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Number of boiler and turbine cold and hot starts since COD, and a summary of LTSA limitations per year</w:t>
      </w:r>
    </w:p>
    <w:p w14:paraId="43F14F99" w14:textId="77777777" w:rsidR="00ED750B" w:rsidRPr="00CC3AE5" w:rsidRDefault="00ED750B" w:rsidP="00ED750B">
      <w:pPr>
        <w:tabs>
          <w:tab w:val="left" w:pos="720"/>
          <w:tab w:val="left" w:pos="1620"/>
          <w:tab w:val="left" w:pos="2880"/>
          <w:tab w:val="left" w:pos="3420"/>
          <w:tab w:val="right" w:pos="8460"/>
        </w:tabs>
        <w:ind w:left="1620"/>
        <w:rPr>
          <w:color w:val="1D1B11" w:themeColor="background2" w:themeShade="1A"/>
          <w:szCs w:val="24"/>
        </w:rPr>
      </w:pPr>
    </w:p>
    <w:p w14:paraId="43F14F9A"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Site black start capability</w:t>
      </w:r>
    </w:p>
    <w:p w14:paraId="43F14F9B" w14:textId="77777777" w:rsidR="00ED750B" w:rsidRPr="00CC3AE5" w:rsidRDefault="00ED750B" w:rsidP="00ED750B">
      <w:pPr>
        <w:tabs>
          <w:tab w:val="left" w:pos="1080"/>
          <w:tab w:val="left" w:pos="3420"/>
          <w:tab w:val="right" w:pos="8460"/>
        </w:tabs>
        <w:ind w:left="360"/>
        <w:rPr>
          <w:color w:val="1D1B11" w:themeColor="background2" w:themeShade="1A"/>
          <w:szCs w:val="24"/>
        </w:rPr>
      </w:pPr>
    </w:p>
    <w:p w14:paraId="43F14F9C"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Spinning and operating reserve capabilities and historic performance</w:t>
      </w:r>
    </w:p>
    <w:p w14:paraId="43F14F9D"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9E"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List and summary of all existing operation/maintenance contracts (</w:t>
      </w:r>
      <w:r w:rsidRPr="00CC3AE5">
        <w:rPr>
          <w:i/>
          <w:color w:val="1D1B11" w:themeColor="background2" w:themeShade="1A"/>
          <w:szCs w:val="24"/>
        </w:rPr>
        <w:t>e.g.</w:t>
      </w:r>
      <w:r w:rsidRPr="00CC3AE5">
        <w:rPr>
          <w:color w:val="1D1B11" w:themeColor="background2" w:themeShade="1A"/>
          <w:szCs w:val="24"/>
        </w:rPr>
        <w:t xml:space="preserve">, operating agreements, LTSA, water contract/rights) </w:t>
      </w:r>
    </w:p>
    <w:p w14:paraId="43F14F9F"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A0"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and results summary of any boiler, turbine, or unit performance tests</w:t>
      </w:r>
    </w:p>
    <w:p w14:paraId="43F14FA1" w14:textId="77777777" w:rsidR="00ED750B" w:rsidRPr="00CC3AE5" w:rsidRDefault="00ED750B" w:rsidP="00ED750B">
      <w:pPr>
        <w:tabs>
          <w:tab w:val="left" w:pos="1080"/>
          <w:tab w:val="left" w:pos="3420"/>
          <w:tab w:val="right" w:pos="8460"/>
        </w:tabs>
        <w:ind w:left="1080"/>
        <w:rPr>
          <w:color w:val="1D1B11" w:themeColor="background2" w:themeShade="1A"/>
          <w:szCs w:val="24"/>
        </w:rPr>
      </w:pPr>
    </w:p>
    <w:p w14:paraId="43F14FA2"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A list of all inspection reports (boilers, turbines, generators)</w:t>
      </w:r>
    </w:p>
    <w:p w14:paraId="43F14FA3" w14:textId="77777777" w:rsidR="00ED750B" w:rsidRPr="00CC3AE5" w:rsidRDefault="00ED750B" w:rsidP="00ED750B">
      <w:pPr>
        <w:pStyle w:val="ListParagraph"/>
        <w:rPr>
          <w:color w:val="1D1B11" w:themeColor="background2" w:themeShade="1A"/>
          <w:szCs w:val="24"/>
        </w:rPr>
      </w:pPr>
    </w:p>
    <w:p w14:paraId="43F14FA4"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Capital Projects – describe any major capital expenditures required over the term of the proposed contract.</w:t>
      </w:r>
    </w:p>
    <w:p w14:paraId="43F14FA5"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Provide detailed information on all major capital expenditures (over $1 million) made on the generating resource over the last three years</w:t>
      </w:r>
    </w:p>
    <w:p w14:paraId="43F14FA6"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Capital work requests and major maintenance expenditures planned</w:t>
      </w:r>
    </w:p>
    <w:p w14:paraId="43F14FA7" w14:textId="77777777" w:rsidR="00ED750B" w:rsidRPr="00CC3AE5" w:rsidRDefault="00ED750B" w:rsidP="00ED750B">
      <w:pPr>
        <w:numPr>
          <w:ilvl w:val="2"/>
          <w:numId w:val="3"/>
        </w:numPr>
        <w:tabs>
          <w:tab w:val="clear" w:pos="2034"/>
          <w:tab w:val="right" w:pos="8460"/>
        </w:tabs>
        <w:ind w:left="1980" w:hanging="900"/>
        <w:rPr>
          <w:color w:val="1D1B11" w:themeColor="background2" w:themeShade="1A"/>
          <w:szCs w:val="24"/>
        </w:rPr>
      </w:pPr>
      <w:r w:rsidRPr="00CC3AE5">
        <w:rPr>
          <w:color w:val="1D1B11" w:themeColor="background2" w:themeShade="1A"/>
          <w:szCs w:val="24"/>
        </w:rPr>
        <w:t>List of all capital projects/commitments contracts, agreements and orders</w:t>
      </w:r>
    </w:p>
    <w:p w14:paraId="43F14FA8" w14:textId="77777777" w:rsidR="00ED750B" w:rsidRPr="00CC3AE5" w:rsidRDefault="00ED750B" w:rsidP="00ED750B">
      <w:pPr>
        <w:tabs>
          <w:tab w:val="right" w:pos="8460"/>
        </w:tabs>
        <w:ind w:left="1980"/>
        <w:rPr>
          <w:color w:val="1D1B11" w:themeColor="background2" w:themeShade="1A"/>
          <w:szCs w:val="24"/>
        </w:rPr>
      </w:pPr>
    </w:p>
    <w:p w14:paraId="43F14FA9" w14:textId="77777777" w:rsidR="00ED750B" w:rsidRPr="00CC3AE5" w:rsidRDefault="00ED750B" w:rsidP="00ED750B">
      <w:pPr>
        <w:numPr>
          <w:ilvl w:val="1"/>
          <w:numId w:val="3"/>
        </w:numPr>
        <w:tabs>
          <w:tab w:val="left" w:pos="2160"/>
          <w:tab w:val="left" w:pos="3420"/>
          <w:tab w:val="right" w:pos="8460"/>
        </w:tabs>
        <w:rPr>
          <w:color w:val="1D1B11" w:themeColor="background2" w:themeShade="1A"/>
          <w:szCs w:val="24"/>
        </w:rPr>
      </w:pPr>
      <w:r w:rsidRPr="00CC3AE5">
        <w:rPr>
          <w:color w:val="1D1B11" w:themeColor="background2" w:themeShade="1A"/>
          <w:szCs w:val="24"/>
        </w:rPr>
        <w:t>List of site spares inventory (major components and value)</w:t>
      </w:r>
    </w:p>
    <w:p w14:paraId="43F14FBC" w14:textId="77777777" w:rsidR="00ED750B" w:rsidRPr="00CC3AE5" w:rsidRDefault="00ED750B" w:rsidP="00ED750B">
      <w:pPr>
        <w:tabs>
          <w:tab w:val="left" w:pos="1440"/>
          <w:tab w:val="left" w:pos="3420"/>
          <w:tab w:val="right" w:pos="8460"/>
        </w:tabs>
        <w:rPr>
          <w:b/>
          <w:color w:val="1D1B11" w:themeColor="background2" w:themeShade="1A"/>
          <w:szCs w:val="24"/>
        </w:rPr>
      </w:pPr>
    </w:p>
    <w:p w14:paraId="43F14FBD" w14:textId="77777777" w:rsidR="00ED750B" w:rsidRPr="00CC3AE5" w:rsidRDefault="00ED750B" w:rsidP="00ED750B">
      <w:pPr>
        <w:numPr>
          <w:ilvl w:val="0"/>
          <w:numId w:val="3"/>
        </w:numPr>
        <w:tabs>
          <w:tab w:val="left" w:pos="1440"/>
          <w:tab w:val="left" w:pos="3420"/>
          <w:tab w:val="right" w:pos="8460"/>
        </w:tabs>
        <w:rPr>
          <w:b/>
          <w:color w:val="1D1B11" w:themeColor="background2" w:themeShade="1A"/>
          <w:szCs w:val="24"/>
        </w:rPr>
      </w:pPr>
      <w:r w:rsidRPr="00CC3AE5">
        <w:rPr>
          <w:b/>
          <w:color w:val="1D1B11" w:themeColor="background2" w:themeShade="1A"/>
          <w:szCs w:val="24"/>
        </w:rPr>
        <w:t>Fuel</w:t>
      </w:r>
    </w:p>
    <w:p w14:paraId="43F14FBF" w14:textId="2BEC26D2"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 xml:space="preserve">Projected Fuel Costs (5 years) </w:t>
      </w:r>
    </w:p>
    <w:p w14:paraId="43F14FC0"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 xml:space="preserve">List and summary of all commodity, transportation and storage tariffs and/or agreements </w:t>
      </w:r>
    </w:p>
    <w:p w14:paraId="43F14FC1"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Current pipeline infrastructure, design capacity and contractual arrangements for all pipelines interconnected to the facility</w:t>
      </w:r>
    </w:p>
    <w:p w14:paraId="43F14FC2" w14:textId="77777777" w:rsidR="00ED750B" w:rsidRPr="00CC3AE5" w:rsidRDefault="00ED750B" w:rsidP="00ED750B">
      <w:pPr>
        <w:numPr>
          <w:ilvl w:val="1"/>
          <w:numId w:val="3"/>
        </w:numPr>
        <w:tabs>
          <w:tab w:val="left" w:pos="1080"/>
          <w:tab w:val="left" w:pos="3420"/>
          <w:tab w:val="right" w:pos="8460"/>
        </w:tabs>
        <w:rPr>
          <w:color w:val="1D1B11" w:themeColor="background2" w:themeShade="1A"/>
          <w:szCs w:val="24"/>
        </w:rPr>
      </w:pPr>
      <w:r w:rsidRPr="00CC3AE5">
        <w:rPr>
          <w:color w:val="1D1B11" w:themeColor="background2" w:themeShade="1A"/>
          <w:szCs w:val="24"/>
        </w:rPr>
        <w:t>Details (including distance and location) of any other pipeline located near the facility (but not current interconnected)</w:t>
      </w:r>
    </w:p>
    <w:p w14:paraId="43F14FC3" w14:textId="77777777" w:rsidR="00556E44" w:rsidRPr="00CC3AE5" w:rsidRDefault="00556E44" w:rsidP="00992588">
      <w:pPr>
        <w:tabs>
          <w:tab w:val="left" w:pos="720"/>
          <w:tab w:val="left" w:pos="1440"/>
          <w:tab w:val="left" w:pos="3420"/>
          <w:tab w:val="right" w:pos="8460"/>
        </w:tabs>
        <w:rPr>
          <w:color w:val="1D1B11" w:themeColor="background2" w:themeShade="1A"/>
          <w:szCs w:val="24"/>
        </w:rPr>
      </w:pPr>
    </w:p>
    <w:sectPr w:rsidR="00556E44" w:rsidRPr="00CC3AE5" w:rsidSect="00A41FB1">
      <w:footerReference w:type="default" r:id="rId16"/>
      <w:headerReference w:type="first" r:id="rId17"/>
      <w:footerReference w:type="first" r:id="rId18"/>
      <w:type w:val="continuous"/>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4FC8" w14:textId="77777777" w:rsidR="00AB6923" w:rsidRDefault="00AB6923">
      <w:r>
        <w:separator/>
      </w:r>
    </w:p>
  </w:endnote>
  <w:endnote w:type="continuationSeparator" w:id="0">
    <w:p w14:paraId="43F14FC9" w14:textId="77777777" w:rsidR="00AB6923" w:rsidRDefault="00AB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CD" w14:textId="77777777" w:rsidR="00ED750B" w:rsidRDefault="00ED750B" w:rsidP="00CC44B2">
    <w:pPr>
      <w:pStyle w:val="Footer"/>
      <w:jc w:val="center"/>
    </w:pPr>
  </w:p>
  <w:p w14:paraId="43F14FCE" w14:textId="77777777" w:rsidR="00ED750B" w:rsidRDefault="00ED750B" w:rsidP="00CC44B2">
    <w:pPr>
      <w:pStyle w:val="Footer"/>
      <w:jc w:val="center"/>
    </w:pPr>
    <w:r>
      <w:t>The statements contained in this RFP are made subject to the Reservation of Rights set forth in Appendix E of this RFP and the terms and acknowledgements set forth in the Proposal Submission Agreement.</w:t>
    </w:r>
  </w:p>
  <w:p w14:paraId="43F14FCF" w14:textId="77777777" w:rsidR="00ED750B" w:rsidRDefault="00ED750B" w:rsidP="00CC44B2">
    <w:pPr>
      <w:pStyle w:val="Footer"/>
      <w:jc w:val="center"/>
    </w:pPr>
  </w:p>
  <w:p w14:paraId="43F14FD0" w14:textId="7527F759" w:rsidR="00ED750B" w:rsidRDefault="00ED750B" w:rsidP="00CC44B2">
    <w:pPr>
      <w:pStyle w:val="Footer"/>
      <w:jc w:val="center"/>
    </w:pPr>
    <w:r>
      <w:t>2015 E</w:t>
    </w:r>
    <w:r w:rsidR="00F87459">
      <w:t xml:space="preserve">LL/EGSL </w:t>
    </w:r>
    <w:r>
      <w:t xml:space="preserve">RFP </w:t>
    </w:r>
  </w:p>
  <w:p w14:paraId="43F14FD1" w14:textId="77777777" w:rsidR="00ED750B" w:rsidRDefault="00ED750B" w:rsidP="00943427">
    <w:pPr>
      <w:pStyle w:val="Footer"/>
      <w:jc w:val="center"/>
    </w:pPr>
  </w:p>
  <w:p w14:paraId="43F14FD2" w14:textId="77777777" w:rsidR="00ED750B" w:rsidRDefault="00ED750B" w:rsidP="003A71B3">
    <w:pPr>
      <w:pStyle w:val="Footer"/>
      <w:tabs>
        <w:tab w:val="clear" w:pos="4320"/>
        <w:tab w:val="clear" w:pos="8640"/>
        <w:tab w:val="center" w:pos="5040"/>
        <w:tab w:val="right" w:pos="9900"/>
      </w:tabs>
      <w:jc w:val="center"/>
    </w:pPr>
    <w:r>
      <w:t>Page C-2-</w:t>
    </w:r>
    <w:r>
      <w:rPr>
        <w:rStyle w:val="PageNumber"/>
      </w:rPr>
      <w:fldChar w:fldCharType="begin"/>
    </w:r>
    <w:r>
      <w:rPr>
        <w:rStyle w:val="PageNumber"/>
      </w:rPr>
      <w:instrText xml:space="preserve"> PAGE </w:instrText>
    </w:r>
    <w:r>
      <w:rPr>
        <w:rStyle w:val="PageNumber"/>
      </w:rPr>
      <w:fldChar w:fldCharType="separate"/>
    </w:r>
    <w:r w:rsidR="003A536B">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D5" w14:textId="77777777" w:rsidR="00E13436" w:rsidRDefault="00E13436" w:rsidP="009011B6">
    <w:pPr>
      <w:pStyle w:val="Footer"/>
      <w:ind w:right="756"/>
      <w:jc w:val="center"/>
    </w:pPr>
  </w:p>
  <w:p w14:paraId="7EA9A1C9" w14:textId="77777777" w:rsidR="009011B6" w:rsidRPr="00CC3AE5" w:rsidRDefault="009011B6" w:rsidP="009011B6">
    <w:pPr>
      <w:ind w:left="630" w:right="666"/>
      <w:jc w:val="center"/>
      <w:rPr>
        <w:noProof/>
        <w:color w:val="1D1B11" w:themeColor="background2" w:themeShade="1A"/>
        <w:sz w:val="20"/>
      </w:rPr>
    </w:pPr>
    <w:r w:rsidRPr="00CC3AE5">
      <w:rPr>
        <w:color w:val="1D1B11" w:themeColor="background2" w:themeShade="1A"/>
        <w:sz w:val="20"/>
      </w:rPr>
      <w:t>The statements contained in this RFP are made subject to the Reservation of Rights set forth in Appendix E of this RFP and the terms and acknowledgements set forth in the Proposal Submission Agreement</w:t>
    </w:r>
    <w:r w:rsidRPr="00CC3AE5">
      <w:rPr>
        <w:noProof/>
        <w:color w:val="1D1B11" w:themeColor="background2" w:themeShade="1A"/>
        <w:sz w:val="20"/>
      </w:rPr>
      <w:t>.</w:t>
    </w:r>
  </w:p>
  <w:p w14:paraId="4CB09F71" w14:textId="77777777" w:rsidR="009011B6" w:rsidRPr="00CC3AE5" w:rsidRDefault="009011B6" w:rsidP="009011B6">
    <w:pPr>
      <w:tabs>
        <w:tab w:val="center" w:pos="4320"/>
        <w:tab w:val="right" w:pos="8640"/>
      </w:tabs>
      <w:rPr>
        <w:color w:val="1D1B11" w:themeColor="background2" w:themeShade="1A"/>
        <w:sz w:val="20"/>
      </w:rPr>
    </w:pPr>
    <w:r w:rsidRPr="00CC3AE5">
      <w:rPr>
        <w:color w:val="1D1B11" w:themeColor="background2" w:themeShade="1A"/>
        <w:sz w:val="20"/>
      </w:rPr>
      <w:tab/>
    </w:r>
  </w:p>
  <w:p w14:paraId="2EE1A2D2" w14:textId="77777777" w:rsidR="009011B6" w:rsidRPr="009011B6" w:rsidRDefault="009011B6" w:rsidP="009011B6">
    <w:pPr>
      <w:ind w:left="630" w:right="666"/>
      <w:jc w:val="center"/>
      <w:rPr>
        <w:sz w:val="20"/>
      </w:rPr>
    </w:pPr>
  </w:p>
  <w:p w14:paraId="43F14FD9" w14:textId="77777777" w:rsidR="00E13436" w:rsidRDefault="00E134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DA" w14:textId="77777777" w:rsidR="00C26332" w:rsidRPr="00CC3AE5" w:rsidRDefault="00C26332" w:rsidP="00CC44B2">
    <w:pPr>
      <w:pStyle w:val="Footer"/>
      <w:jc w:val="center"/>
      <w:rPr>
        <w:color w:val="1D1B11" w:themeColor="background2" w:themeShade="1A"/>
      </w:rPr>
    </w:pPr>
  </w:p>
  <w:p w14:paraId="75C23371" w14:textId="77777777" w:rsidR="00B71160" w:rsidRPr="00CC3AE5" w:rsidRDefault="00B71160" w:rsidP="00B71160">
    <w:pPr>
      <w:ind w:left="630" w:right="666"/>
      <w:jc w:val="center"/>
      <w:rPr>
        <w:noProof/>
        <w:color w:val="1D1B11" w:themeColor="background2" w:themeShade="1A"/>
        <w:sz w:val="20"/>
      </w:rPr>
    </w:pPr>
    <w:r w:rsidRPr="00CC3AE5">
      <w:rPr>
        <w:color w:val="1D1B11" w:themeColor="background2" w:themeShade="1A"/>
        <w:sz w:val="20"/>
      </w:rPr>
      <w:t>The statements contained in this RFP are made subject to the Reservation of Rights set forth in Appendix E of this RFP and the terms and acknowledgements set forth in the Proposal Submission Agreement</w:t>
    </w:r>
    <w:r w:rsidRPr="00CC3AE5">
      <w:rPr>
        <w:noProof/>
        <w:color w:val="1D1B11" w:themeColor="background2" w:themeShade="1A"/>
        <w:sz w:val="20"/>
      </w:rPr>
      <w:t>.</w:t>
    </w:r>
  </w:p>
  <w:p w14:paraId="43F14FDC" w14:textId="77777777" w:rsidR="00C26332" w:rsidRPr="00CC3AE5" w:rsidRDefault="00C26332" w:rsidP="00CC44B2">
    <w:pPr>
      <w:pStyle w:val="Footer"/>
      <w:jc w:val="center"/>
      <w:rPr>
        <w:color w:val="1D1B11" w:themeColor="background2" w:themeShade="1A"/>
      </w:rPr>
    </w:pPr>
  </w:p>
  <w:p w14:paraId="43F14FDD" w14:textId="46BD1385" w:rsidR="00C26332" w:rsidRPr="00CC3AE5" w:rsidRDefault="00C26332" w:rsidP="00CC44B2">
    <w:pPr>
      <w:pStyle w:val="Footer"/>
      <w:jc w:val="center"/>
      <w:rPr>
        <w:color w:val="1D1B11" w:themeColor="background2" w:themeShade="1A"/>
      </w:rPr>
    </w:pPr>
    <w:r w:rsidRPr="00CC3AE5">
      <w:rPr>
        <w:color w:val="1D1B11" w:themeColor="background2" w:themeShade="1A"/>
      </w:rPr>
      <w:t xml:space="preserve">2015 </w:t>
    </w:r>
    <w:r w:rsidR="00F87459" w:rsidRPr="00CC3AE5">
      <w:rPr>
        <w:color w:val="1D1B11" w:themeColor="background2" w:themeShade="1A"/>
      </w:rPr>
      <w:t xml:space="preserve">ELL/EGSL </w:t>
    </w:r>
    <w:r w:rsidRPr="00CC3AE5">
      <w:rPr>
        <w:color w:val="1D1B11" w:themeColor="background2" w:themeShade="1A"/>
      </w:rPr>
      <w:t xml:space="preserve">RFP </w:t>
    </w:r>
  </w:p>
  <w:p w14:paraId="43F14FDE" w14:textId="77777777" w:rsidR="00C26332" w:rsidRPr="00CC3AE5" w:rsidRDefault="00C26332" w:rsidP="00943427">
    <w:pPr>
      <w:pStyle w:val="Footer"/>
      <w:jc w:val="center"/>
      <w:rPr>
        <w:color w:val="1D1B11" w:themeColor="background2" w:themeShade="1A"/>
      </w:rPr>
    </w:pPr>
  </w:p>
  <w:p w14:paraId="43F14FDF" w14:textId="77777777" w:rsidR="00C26332" w:rsidRPr="00CC3AE5" w:rsidRDefault="00C26332" w:rsidP="003A71B3">
    <w:pPr>
      <w:pStyle w:val="Footer"/>
      <w:tabs>
        <w:tab w:val="clear" w:pos="4320"/>
        <w:tab w:val="clear" w:pos="8640"/>
        <w:tab w:val="center" w:pos="5040"/>
        <w:tab w:val="right" w:pos="9900"/>
      </w:tabs>
      <w:jc w:val="center"/>
      <w:rPr>
        <w:color w:val="1D1B11" w:themeColor="background2" w:themeShade="1A"/>
      </w:rPr>
    </w:pPr>
    <w:r w:rsidRPr="00CC3AE5">
      <w:rPr>
        <w:color w:val="1D1B11" w:themeColor="background2" w:themeShade="1A"/>
      </w:rPr>
      <w:t>Page C-2-</w:t>
    </w:r>
    <w:r w:rsidRPr="00CC3AE5">
      <w:rPr>
        <w:rStyle w:val="PageNumber"/>
        <w:color w:val="1D1B11" w:themeColor="background2" w:themeShade="1A"/>
      </w:rPr>
      <w:fldChar w:fldCharType="begin"/>
    </w:r>
    <w:r w:rsidRPr="00CC3AE5">
      <w:rPr>
        <w:rStyle w:val="PageNumber"/>
        <w:color w:val="1D1B11" w:themeColor="background2" w:themeShade="1A"/>
      </w:rPr>
      <w:instrText xml:space="preserve"> PAGE </w:instrText>
    </w:r>
    <w:r w:rsidRPr="00CC3AE5">
      <w:rPr>
        <w:rStyle w:val="PageNumber"/>
        <w:color w:val="1D1B11" w:themeColor="background2" w:themeShade="1A"/>
      </w:rPr>
      <w:fldChar w:fldCharType="separate"/>
    </w:r>
    <w:r w:rsidR="000545A2">
      <w:rPr>
        <w:rStyle w:val="PageNumber"/>
        <w:noProof/>
        <w:color w:val="1D1B11" w:themeColor="background2" w:themeShade="1A"/>
      </w:rPr>
      <w:t>6</w:t>
    </w:r>
    <w:r w:rsidRPr="00CC3AE5">
      <w:rPr>
        <w:rStyle w:val="PageNumber"/>
        <w:color w:val="1D1B11" w:themeColor="background2" w:themeShade="1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E1" w14:textId="77777777" w:rsidR="00A41FB1" w:rsidRPr="00CC3AE5" w:rsidRDefault="00A41FB1" w:rsidP="00A41FB1">
    <w:pPr>
      <w:pStyle w:val="Footer"/>
      <w:jc w:val="center"/>
      <w:rPr>
        <w:color w:val="1D1B11" w:themeColor="background2" w:themeShade="1A"/>
      </w:rPr>
    </w:pPr>
  </w:p>
  <w:p w14:paraId="37D6793D" w14:textId="77777777" w:rsidR="009011B6" w:rsidRPr="00CC3AE5" w:rsidRDefault="009011B6" w:rsidP="009011B6">
    <w:pPr>
      <w:ind w:left="630" w:right="666"/>
      <w:jc w:val="center"/>
      <w:rPr>
        <w:noProof/>
        <w:color w:val="1D1B11" w:themeColor="background2" w:themeShade="1A"/>
        <w:sz w:val="20"/>
      </w:rPr>
    </w:pPr>
    <w:r w:rsidRPr="00CC3AE5">
      <w:rPr>
        <w:color w:val="1D1B11" w:themeColor="background2" w:themeShade="1A"/>
        <w:sz w:val="20"/>
      </w:rPr>
      <w:t>The statements contained in this RFP are made subject to the Reservation of Rights set forth in Appendix E of this RFP and the terms and acknowledgements set forth in the Proposal Submission Agreement</w:t>
    </w:r>
    <w:r w:rsidRPr="00CC3AE5">
      <w:rPr>
        <w:noProof/>
        <w:color w:val="1D1B11" w:themeColor="background2" w:themeShade="1A"/>
        <w:sz w:val="20"/>
      </w:rPr>
      <w:t>.</w:t>
    </w:r>
  </w:p>
  <w:p w14:paraId="43F14FE3" w14:textId="77777777" w:rsidR="00A41FB1" w:rsidRPr="00CC3AE5" w:rsidRDefault="00A41FB1" w:rsidP="00A41FB1">
    <w:pPr>
      <w:pStyle w:val="Footer"/>
      <w:jc w:val="center"/>
      <w:rPr>
        <w:color w:val="1D1B11" w:themeColor="background2" w:themeShade="1A"/>
      </w:rPr>
    </w:pPr>
  </w:p>
  <w:p w14:paraId="43F14FE4" w14:textId="5EA2B466" w:rsidR="00A41FB1" w:rsidRPr="00CC3AE5" w:rsidRDefault="00A41FB1" w:rsidP="00A41FB1">
    <w:pPr>
      <w:pStyle w:val="Footer"/>
      <w:jc w:val="center"/>
      <w:rPr>
        <w:color w:val="1D1B11" w:themeColor="background2" w:themeShade="1A"/>
      </w:rPr>
    </w:pPr>
    <w:r w:rsidRPr="00CC3AE5">
      <w:rPr>
        <w:color w:val="1D1B11" w:themeColor="background2" w:themeShade="1A"/>
      </w:rPr>
      <w:t>2015</w:t>
    </w:r>
    <w:r w:rsidR="00C26332" w:rsidRPr="00CC3AE5">
      <w:rPr>
        <w:color w:val="1D1B11" w:themeColor="background2" w:themeShade="1A"/>
      </w:rPr>
      <w:t xml:space="preserve"> </w:t>
    </w:r>
    <w:r w:rsidR="00F87459" w:rsidRPr="00CC3AE5">
      <w:rPr>
        <w:color w:val="1D1B11" w:themeColor="background2" w:themeShade="1A"/>
      </w:rPr>
      <w:t>ELL/EGSL</w:t>
    </w:r>
    <w:r w:rsidRPr="00CC3AE5">
      <w:rPr>
        <w:color w:val="1D1B11" w:themeColor="background2" w:themeShade="1A"/>
      </w:rPr>
      <w:t xml:space="preserve"> RFP </w:t>
    </w:r>
  </w:p>
  <w:p w14:paraId="43F14FE5" w14:textId="77777777" w:rsidR="00A41FB1" w:rsidRPr="00CC3AE5" w:rsidRDefault="00A41FB1">
    <w:pPr>
      <w:pStyle w:val="Footer"/>
      <w:jc w:val="center"/>
      <w:rPr>
        <w:color w:val="1D1B11" w:themeColor="background2" w:themeShade="1A"/>
      </w:rPr>
    </w:pPr>
  </w:p>
  <w:p w14:paraId="43F14FE6" w14:textId="77777777" w:rsidR="00A41FB1" w:rsidRPr="00CC3AE5" w:rsidRDefault="00A41FB1">
    <w:pPr>
      <w:pStyle w:val="Footer"/>
      <w:jc w:val="center"/>
      <w:rPr>
        <w:color w:val="1D1B11" w:themeColor="background2" w:themeShade="1A"/>
      </w:rPr>
    </w:pPr>
    <w:r w:rsidRPr="00CC3AE5">
      <w:rPr>
        <w:color w:val="1D1B11" w:themeColor="background2" w:themeShade="1A"/>
      </w:rPr>
      <w:t>Page C-2-</w:t>
    </w:r>
    <w:sdt>
      <w:sdtPr>
        <w:rPr>
          <w:color w:val="1D1B11" w:themeColor="background2" w:themeShade="1A"/>
        </w:rPr>
        <w:id w:val="-2055687657"/>
        <w:docPartObj>
          <w:docPartGallery w:val="Page Numbers (Bottom of Page)"/>
          <w:docPartUnique/>
        </w:docPartObj>
      </w:sdtPr>
      <w:sdtEndPr>
        <w:rPr>
          <w:noProof/>
        </w:rPr>
      </w:sdtEndPr>
      <w:sdtContent>
        <w:r w:rsidRPr="00CC3AE5">
          <w:rPr>
            <w:color w:val="1D1B11" w:themeColor="background2" w:themeShade="1A"/>
          </w:rPr>
          <w:fldChar w:fldCharType="begin"/>
        </w:r>
        <w:r w:rsidRPr="00CC3AE5">
          <w:rPr>
            <w:color w:val="1D1B11" w:themeColor="background2" w:themeShade="1A"/>
          </w:rPr>
          <w:instrText xml:space="preserve"> PAGE   \* MERGEFORMAT </w:instrText>
        </w:r>
        <w:r w:rsidRPr="00CC3AE5">
          <w:rPr>
            <w:color w:val="1D1B11" w:themeColor="background2" w:themeShade="1A"/>
          </w:rPr>
          <w:fldChar w:fldCharType="separate"/>
        </w:r>
        <w:r w:rsidR="000545A2">
          <w:rPr>
            <w:noProof/>
            <w:color w:val="1D1B11" w:themeColor="background2" w:themeShade="1A"/>
          </w:rPr>
          <w:t>1</w:t>
        </w:r>
        <w:r w:rsidRPr="00CC3AE5">
          <w:rPr>
            <w:noProof/>
            <w:color w:val="1D1B11" w:themeColor="background2" w:themeShade="1A"/>
          </w:rPr>
          <w:fldChar w:fldCharType="end"/>
        </w:r>
      </w:sdtContent>
    </w:sdt>
  </w:p>
  <w:p w14:paraId="43F14FE7" w14:textId="77777777" w:rsidR="00CC44B2" w:rsidRDefault="00CC4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14FC6" w14:textId="77777777" w:rsidR="00AB6923" w:rsidRDefault="00AB6923">
      <w:r>
        <w:separator/>
      </w:r>
    </w:p>
  </w:footnote>
  <w:footnote w:type="continuationSeparator" w:id="0">
    <w:p w14:paraId="43F14FC7" w14:textId="77777777" w:rsidR="00AB6923" w:rsidRDefault="00AB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CA" w14:textId="77777777" w:rsidR="00ED750B" w:rsidRPr="00CC3AE5" w:rsidRDefault="00ED750B" w:rsidP="0037215E">
    <w:pPr>
      <w:tabs>
        <w:tab w:val="left" w:pos="720"/>
        <w:tab w:val="right" w:pos="8460"/>
      </w:tabs>
      <w:ind w:left="360"/>
      <w:jc w:val="center"/>
      <w:rPr>
        <w:b/>
        <w:color w:val="1D1B11" w:themeColor="background2" w:themeShade="1A"/>
        <w:szCs w:val="24"/>
      </w:rPr>
    </w:pPr>
    <w:r w:rsidRPr="00CC3AE5">
      <w:rPr>
        <w:b/>
        <w:color w:val="1D1B11" w:themeColor="background2" w:themeShade="1A"/>
        <w:szCs w:val="24"/>
      </w:rPr>
      <w:t>APPENDIX C-2</w:t>
    </w:r>
  </w:p>
  <w:p w14:paraId="43F14FCB" w14:textId="77777777" w:rsidR="00ED750B" w:rsidRPr="00CC3AE5" w:rsidRDefault="00ED750B" w:rsidP="0037215E">
    <w:pPr>
      <w:tabs>
        <w:tab w:val="left" w:pos="720"/>
        <w:tab w:val="right" w:pos="8460"/>
      </w:tabs>
      <w:ind w:left="360"/>
      <w:jc w:val="center"/>
      <w:rPr>
        <w:b/>
        <w:color w:val="1D1B11" w:themeColor="background2" w:themeShade="1A"/>
        <w:szCs w:val="24"/>
      </w:rPr>
    </w:pPr>
    <w:r w:rsidRPr="00CC3AE5">
      <w:rPr>
        <w:b/>
        <w:color w:val="1D1B11" w:themeColor="background2" w:themeShade="1A"/>
        <w:szCs w:val="24"/>
      </w:rPr>
      <w:t>Preliminary Due Diligence List (Existing Resources)</w:t>
    </w:r>
  </w:p>
  <w:p w14:paraId="43F14FCC" w14:textId="77777777" w:rsidR="00A41FB1" w:rsidRDefault="00A41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D3" w14:textId="77777777" w:rsidR="00ED750B" w:rsidRPr="00085789" w:rsidRDefault="00ED750B" w:rsidP="00CC44B2">
    <w:pPr>
      <w:pStyle w:val="Header"/>
    </w:pPr>
  </w:p>
  <w:p w14:paraId="43F14FD4" w14:textId="77777777" w:rsidR="00ED750B" w:rsidRDefault="00ED7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4FE0" w14:textId="77777777" w:rsidR="00CC44B2" w:rsidRPr="0035633D" w:rsidRDefault="00CC44B2" w:rsidP="00356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12684C5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32F173F8"/>
    <w:multiLevelType w:val="multilevel"/>
    <w:tmpl w:val="AB72C72C"/>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2"/>
        <w:szCs w:val="22"/>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2"/>
        <w:szCs w:val="22"/>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2"/>
        <w:szCs w:val="22"/>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4">
    <w:nsid w:val="40A95C67"/>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034"/>
        </w:tabs>
        <w:ind w:left="203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5">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00476"/>
    <w:rsid w:val="00000508"/>
    <w:rsid w:val="0000627F"/>
    <w:rsid w:val="00014794"/>
    <w:rsid w:val="0002017C"/>
    <w:rsid w:val="00020796"/>
    <w:rsid w:val="00021DF3"/>
    <w:rsid w:val="00024AA5"/>
    <w:rsid w:val="00024EF4"/>
    <w:rsid w:val="00034C8B"/>
    <w:rsid w:val="00037DB8"/>
    <w:rsid w:val="0004151B"/>
    <w:rsid w:val="00043E6A"/>
    <w:rsid w:val="000513C3"/>
    <w:rsid w:val="00051CA6"/>
    <w:rsid w:val="000525E3"/>
    <w:rsid w:val="000545A2"/>
    <w:rsid w:val="000637F7"/>
    <w:rsid w:val="00071AEC"/>
    <w:rsid w:val="00072ED0"/>
    <w:rsid w:val="00074C09"/>
    <w:rsid w:val="00075E11"/>
    <w:rsid w:val="0007748F"/>
    <w:rsid w:val="00085789"/>
    <w:rsid w:val="00093E0B"/>
    <w:rsid w:val="000A30E3"/>
    <w:rsid w:val="000B52C0"/>
    <w:rsid w:val="000C3C69"/>
    <w:rsid w:val="000D04A4"/>
    <w:rsid w:val="000D36DE"/>
    <w:rsid w:val="000D3B4B"/>
    <w:rsid w:val="000E1856"/>
    <w:rsid w:val="000E301A"/>
    <w:rsid w:val="000E5457"/>
    <w:rsid w:val="000F274D"/>
    <w:rsid w:val="000F6706"/>
    <w:rsid w:val="00101410"/>
    <w:rsid w:val="001059DC"/>
    <w:rsid w:val="00106ED2"/>
    <w:rsid w:val="001110F1"/>
    <w:rsid w:val="00122A51"/>
    <w:rsid w:val="001240AE"/>
    <w:rsid w:val="00130242"/>
    <w:rsid w:val="00130857"/>
    <w:rsid w:val="00134360"/>
    <w:rsid w:val="001521F6"/>
    <w:rsid w:val="0015662B"/>
    <w:rsid w:val="00161727"/>
    <w:rsid w:val="00170C10"/>
    <w:rsid w:val="001742F7"/>
    <w:rsid w:val="00176AF8"/>
    <w:rsid w:val="001847C5"/>
    <w:rsid w:val="001879E6"/>
    <w:rsid w:val="00193A91"/>
    <w:rsid w:val="00194136"/>
    <w:rsid w:val="00195F09"/>
    <w:rsid w:val="001A7D7D"/>
    <w:rsid w:val="001B620A"/>
    <w:rsid w:val="001C442A"/>
    <w:rsid w:val="001C5692"/>
    <w:rsid w:val="001C6EF0"/>
    <w:rsid w:val="001E2C7C"/>
    <w:rsid w:val="001E2D0A"/>
    <w:rsid w:val="001E6B67"/>
    <w:rsid w:val="001F39D2"/>
    <w:rsid w:val="001F3DCB"/>
    <w:rsid w:val="00201C15"/>
    <w:rsid w:val="00206413"/>
    <w:rsid w:val="00216863"/>
    <w:rsid w:val="00217038"/>
    <w:rsid w:val="00217BE7"/>
    <w:rsid w:val="002215D0"/>
    <w:rsid w:val="002242DD"/>
    <w:rsid w:val="00226730"/>
    <w:rsid w:val="002315F6"/>
    <w:rsid w:val="0024744B"/>
    <w:rsid w:val="00250270"/>
    <w:rsid w:val="00250A47"/>
    <w:rsid w:val="002511E8"/>
    <w:rsid w:val="00253DE3"/>
    <w:rsid w:val="00254E9F"/>
    <w:rsid w:val="00273D84"/>
    <w:rsid w:val="00282D70"/>
    <w:rsid w:val="00284206"/>
    <w:rsid w:val="002863E8"/>
    <w:rsid w:val="00287623"/>
    <w:rsid w:val="00293484"/>
    <w:rsid w:val="00293747"/>
    <w:rsid w:val="002A0A68"/>
    <w:rsid w:val="002C22EF"/>
    <w:rsid w:val="002D12E9"/>
    <w:rsid w:val="002D3DA6"/>
    <w:rsid w:val="002D686C"/>
    <w:rsid w:val="002F5C65"/>
    <w:rsid w:val="003045EF"/>
    <w:rsid w:val="00304F1F"/>
    <w:rsid w:val="003062C9"/>
    <w:rsid w:val="00310209"/>
    <w:rsid w:val="0031346D"/>
    <w:rsid w:val="00314FC1"/>
    <w:rsid w:val="00316190"/>
    <w:rsid w:val="00324DA1"/>
    <w:rsid w:val="003260A6"/>
    <w:rsid w:val="003266F9"/>
    <w:rsid w:val="00333176"/>
    <w:rsid w:val="00346E05"/>
    <w:rsid w:val="00350C0D"/>
    <w:rsid w:val="0035633D"/>
    <w:rsid w:val="003603CB"/>
    <w:rsid w:val="003637CD"/>
    <w:rsid w:val="00364D94"/>
    <w:rsid w:val="0037215E"/>
    <w:rsid w:val="00372459"/>
    <w:rsid w:val="00376C60"/>
    <w:rsid w:val="00381EB2"/>
    <w:rsid w:val="003832A6"/>
    <w:rsid w:val="00384531"/>
    <w:rsid w:val="0039345D"/>
    <w:rsid w:val="003A1C6B"/>
    <w:rsid w:val="003A21C5"/>
    <w:rsid w:val="003A536B"/>
    <w:rsid w:val="003A6D30"/>
    <w:rsid w:val="003A71B3"/>
    <w:rsid w:val="003C11E1"/>
    <w:rsid w:val="003C5216"/>
    <w:rsid w:val="003D38B5"/>
    <w:rsid w:val="003E1E9D"/>
    <w:rsid w:val="003E6314"/>
    <w:rsid w:val="003E7D9A"/>
    <w:rsid w:val="004000E5"/>
    <w:rsid w:val="0040020E"/>
    <w:rsid w:val="00405F1F"/>
    <w:rsid w:val="00406F54"/>
    <w:rsid w:val="004075F6"/>
    <w:rsid w:val="004111E8"/>
    <w:rsid w:val="004157C2"/>
    <w:rsid w:val="00424F99"/>
    <w:rsid w:val="004254BB"/>
    <w:rsid w:val="00432D9D"/>
    <w:rsid w:val="0044466A"/>
    <w:rsid w:val="00444F04"/>
    <w:rsid w:val="00447C93"/>
    <w:rsid w:val="00452BAE"/>
    <w:rsid w:val="00453559"/>
    <w:rsid w:val="0045441F"/>
    <w:rsid w:val="004553CA"/>
    <w:rsid w:val="0045781B"/>
    <w:rsid w:val="004659F4"/>
    <w:rsid w:val="0046790F"/>
    <w:rsid w:val="00471180"/>
    <w:rsid w:val="00475191"/>
    <w:rsid w:val="004808AD"/>
    <w:rsid w:val="0048145F"/>
    <w:rsid w:val="0049241B"/>
    <w:rsid w:val="004956D5"/>
    <w:rsid w:val="0049761B"/>
    <w:rsid w:val="004A32C0"/>
    <w:rsid w:val="004B0DF9"/>
    <w:rsid w:val="004C1A86"/>
    <w:rsid w:val="004D5A53"/>
    <w:rsid w:val="004E6AB2"/>
    <w:rsid w:val="005033E3"/>
    <w:rsid w:val="00512A92"/>
    <w:rsid w:val="005206A2"/>
    <w:rsid w:val="00521339"/>
    <w:rsid w:val="0052664D"/>
    <w:rsid w:val="00527FA1"/>
    <w:rsid w:val="00534F87"/>
    <w:rsid w:val="00540795"/>
    <w:rsid w:val="00541502"/>
    <w:rsid w:val="00542724"/>
    <w:rsid w:val="00546333"/>
    <w:rsid w:val="00553189"/>
    <w:rsid w:val="0055557F"/>
    <w:rsid w:val="00556E44"/>
    <w:rsid w:val="005638FC"/>
    <w:rsid w:val="005642EB"/>
    <w:rsid w:val="00564703"/>
    <w:rsid w:val="00572FC8"/>
    <w:rsid w:val="00576C94"/>
    <w:rsid w:val="00584F96"/>
    <w:rsid w:val="005870E8"/>
    <w:rsid w:val="005923B3"/>
    <w:rsid w:val="005930E9"/>
    <w:rsid w:val="00597775"/>
    <w:rsid w:val="005A39DE"/>
    <w:rsid w:val="005B06FF"/>
    <w:rsid w:val="005B31EC"/>
    <w:rsid w:val="005B43C3"/>
    <w:rsid w:val="005C5B90"/>
    <w:rsid w:val="005D62BF"/>
    <w:rsid w:val="005D62D6"/>
    <w:rsid w:val="005F525B"/>
    <w:rsid w:val="00621D66"/>
    <w:rsid w:val="00623058"/>
    <w:rsid w:val="00640A07"/>
    <w:rsid w:val="006456D2"/>
    <w:rsid w:val="0064606C"/>
    <w:rsid w:val="00647E31"/>
    <w:rsid w:val="00650230"/>
    <w:rsid w:val="00660634"/>
    <w:rsid w:val="00661F81"/>
    <w:rsid w:val="00670D4A"/>
    <w:rsid w:val="00671056"/>
    <w:rsid w:val="00674BBB"/>
    <w:rsid w:val="006751E7"/>
    <w:rsid w:val="006771B3"/>
    <w:rsid w:val="00681E1C"/>
    <w:rsid w:val="00690FFD"/>
    <w:rsid w:val="00697F95"/>
    <w:rsid w:val="006A23AF"/>
    <w:rsid w:val="006A7286"/>
    <w:rsid w:val="006C406B"/>
    <w:rsid w:val="006D0EB3"/>
    <w:rsid w:val="006D312B"/>
    <w:rsid w:val="006D5CA8"/>
    <w:rsid w:val="006D5DD2"/>
    <w:rsid w:val="006D5EE2"/>
    <w:rsid w:val="006D7C5B"/>
    <w:rsid w:val="006E032C"/>
    <w:rsid w:val="006E3109"/>
    <w:rsid w:val="006E5C94"/>
    <w:rsid w:val="00704A9F"/>
    <w:rsid w:val="007105D5"/>
    <w:rsid w:val="0071291B"/>
    <w:rsid w:val="00720304"/>
    <w:rsid w:val="007219DD"/>
    <w:rsid w:val="007223FC"/>
    <w:rsid w:val="00724042"/>
    <w:rsid w:val="00724D86"/>
    <w:rsid w:val="00730E5B"/>
    <w:rsid w:val="007468DC"/>
    <w:rsid w:val="00747864"/>
    <w:rsid w:val="00747E83"/>
    <w:rsid w:val="00752B89"/>
    <w:rsid w:val="0075506A"/>
    <w:rsid w:val="007606D1"/>
    <w:rsid w:val="00761C2A"/>
    <w:rsid w:val="00764756"/>
    <w:rsid w:val="00774846"/>
    <w:rsid w:val="00791509"/>
    <w:rsid w:val="00791589"/>
    <w:rsid w:val="00792365"/>
    <w:rsid w:val="00795FF9"/>
    <w:rsid w:val="007964CD"/>
    <w:rsid w:val="007A1022"/>
    <w:rsid w:val="007A12EA"/>
    <w:rsid w:val="007A1E9E"/>
    <w:rsid w:val="007A6EB7"/>
    <w:rsid w:val="007B60B9"/>
    <w:rsid w:val="007C02D3"/>
    <w:rsid w:val="007C07DD"/>
    <w:rsid w:val="007C209B"/>
    <w:rsid w:val="007C53F8"/>
    <w:rsid w:val="007C7C96"/>
    <w:rsid w:val="007D2DC9"/>
    <w:rsid w:val="007D7F52"/>
    <w:rsid w:val="007E6BD4"/>
    <w:rsid w:val="007F521C"/>
    <w:rsid w:val="008019E4"/>
    <w:rsid w:val="00812A97"/>
    <w:rsid w:val="00822E01"/>
    <w:rsid w:val="00832558"/>
    <w:rsid w:val="00833A31"/>
    <w:rsid w:val="00833BD3"/>
    <w:rsid w:val="00836AF3"/>
    <w:rsid w:val="0083767F"/>
    <w:rsid w:val="00841F08"/>
    <w:rsid w:val="00850771"/>
    <w:rsid w:val="00856C7A"/>
    <w:rsid w:val="0086063E"/>
    <w:rsid w:val="00862F03"/>
    <w:rsid w:val="00870803"/>
    <w:rsid w:val="0087095B"/>
    <w:rsid w:val="0087337F"/>
    <w:rsid w:val="00881693"/>
    <w:rsid w:val="00885026"/>
    <w:rsid w:val="008866F0"/>
    <w:rsid w:val="00887269"/>
    <w:rsid w:val="008938DD"/>
    <w:rsid w:val="008A25AF"/>
    <w:rsid w:val="008B5E54"/>
    <w:rsid w:val="008B72DF"/>
    <w:rsid w:val="008B7D36"/>
    <w:rsid w:val="008C2A7C"/>
    <w:rsid w:val="008C50A0"/>
    <w:rsid w:val="008E03A7"/>
    <w:rsid w:val="008F7351"/>
    <w:rsid w:val="009011B6"/>
    <w:rsid w:val="009044CE"/>
    <w:rsid w:val="009069FB"/>
    <w:rsid w:val="00906BA5"/>
    <w:rsid w:val="00911F26"/>
    <w:rsid w:val="00912688"/>
    <w:rsid w:val="009141C1"/>
    <w:rsid w:val="00917380"/>
    <w:rsid w:val="009234F6"/>
    <w:rsid w:val="00930B31"/>
    <w:rsid w:val="00935BE6"/>
    <w:rsid w:val="00943427"/>
    <w:rsid w:val="00950D34"/>
    <w:rsid w:val="009544AB"/>
    <w:rsid w:val="00961997"/>
    <w:rsid w:val="009717BA"/>
    <w:rsid w:val="00975F0D"/>
    <w:rsid w:val="00980417"/>
    <w:rsid w:val="00986649"/>
    <w:rsid w:val="00992588"/>
    <w:rsid w:val="009A4640"/>
    <w:rsid w:val="009A53C7"/>
    <w:rsid w:val="009B6364"/>
    <w:rsid w:val="009B7817"/>
    <w:rsid w:val="009C0741"/>
    <w:rsid w:val="009C30E4"/>
    <w:rsid w:val="009C3970"/>
    <w:rsid w:val="009C3F5C"/>
    <w:rsid w:val="009C51F4"/>
    <w:rsid w:val="009C575E"/>
    <w:rsid w:val="009C5BA7"/>
    <w:rsid w:val="009C5D38"/>
    <w:rsid w:val="009C7B59"/>
    <w:rsid w:val="009E38FC"/>
    <w:rsid w:val="00A0123F"/>
    <w:rsid w:val="00A01862"/>
    <w:rsid w:val="00A01958"/>
    <w:rsid w:val="00A02F2B"/>
    <w:rsid w:val="00A04B7F"/>
    <w:rsid w:val="00A07D09"/>
    <w:rsid w:val="00A13A71"/>
    <w:rsid w:val="00A14E87"/>
    <w:rsid w:val="00A15A12"/>
    <w:rsid w:val="00A301D5"/>
    <w:rsid w:val="00A30E00"/>
    <w:rsid w:val="00A32541"/>
    <w:rsid w:val="00A32E42"/>
    <w:rsid w:val="00A35061"/>
    <w:rsid w:val="00A35E12"/>
    <w:rsid w:val="00A37B69"/>
    <w:rsid w:val="00A41FB1"/>
    <w:rsid w:val="00A45337"/>
    <w:rsid w:val="00A45C4B"/>
    <w:rsid w:val="00A50F4C"/>
    <w:rsid w:val="00A52AF8"/>
    <w:rsid w:val="00A57F2D"/>
    <w:rsid w:val="00A64780"/>
    <w:rsid w:val="00A67A5D"/>
    <w:rsid w:val="00A72AD3"/>
    <w:rsid w:val="00A817AD"/>
    <w:rsid w:val="00A81BD7"/>
    <w:rsid w:val="00A86B27"/>
    <w:rsid w:val="00A87C53"/>
    <w:rsid w:val="00AA1374"/>
    <w:rsid w:val="00AA44E3"/>
    <w:rsid w:val="00AB3136"/>
    <w:rsid w:val="00AB3F43"/>
    <w:rsid w:val="00AB4996"/>
    <w:rsid w:val="00AB6923"/>
    <w:rsid w:val="00AC15DB"/>
    <w:rsid w:val="00AC1895"/>
    <w:rsid w:val="00AC7D7E"/>
    <w:rsid w:val="00AD2F5B"/>
    <w:rsid w:val="00AD5F80"/>
    <w:rsid w:val="00AE017E"/>
    <w:rsid w:val="00AE4A73"/>
    <w:rsid w:val="00AF20D2"/>
    <w:rsid w:val="00B030BE"/>
    <w:rsid w:val="00B05CC5"/>
    <w:rsid w:val="00B10521"/>
    <w:rsid w:val="00B10D05"/>
    <w:rsid w:val="00B143DC"/>
    <w:rsid w:val="00B21FDE"/>
    <w:rsid w:val="00B25137"/>
    <w:rsid w:val="00B268D4"/>
    <w:rsid w:val="00B316D9"/>
    <w:rsid w:val="00B338D7"/>
    <w:rsid w:val="00B3484E"/>
    <w:rsid w:val="00B364F6"/>
    <w:rsid w:val="00B37296"/>
    <w:rsid w:val="00B443FF"/>
    <w:rsid w:val="00B4484A"/>
    <w:rsid w:val="00B55C93"/>
    <w:rsid w:val="00B55FDD"/>
    <w:rsid w:val="00B71160"/>
    <w:rsid w:val="00B75AB7"/>
    <w:rsid w:val="00B83CBB"/>
    <w:rsid w:val="00B84AED"/>
    <w:rsid w:val="00B90269"/>
    <w:rsid w:val="00B91BE3"/>
    <w:rsid w:val="00B97EC4"/>
    <w:rsid w:val="00BB4AE9"/>
    <w:rsid w:val="00BD2811"/>
    <w:rsid w:val="00BD512D"/>
    <w:rsid w:val="00BE0DF6"/>
    <w:rsid w:val="00BF4981"/>
    <w:rsid w:val="00C024EA"/>
    <w:rsid w:val="00C02C11"/>
    <w:rsid w:val="00C0392A"/>
    <w:rsid w:val="00C2023D"/>
    <w:rsid w:val="00C20D3C"/>
    <w:rsid w:val="00C26332"/>
    <w:rsid w:val="00C53BEF"/>
    <w:rsid w:val="00C54565"/>
    <w:rsid w:val="00C5752E"/>
    <w:rsid w:val="00C624CC"/>
    <w:rsid w:val="00C7751A"/>
    <w:rsid w:val="00C77891"/>
    <w:rsid w:val="00C80E76"/>
    <w:rsid w:val="00C82DE7"/>
    <w:rsid w:val="00C8442B"/>
    <w:rsid w:val="00C8530B"/>
    <w:rsid w:val="00C94959"/>
    <w:rsid w:val="00C94EA2"/>
    <w:rsid w:val="00CA1545"/>
    <w:rsid w:val="00CA3236"/>
    <w:rsid w:val="00CA3ED5"/>
    <w:rsid w:val="00CB60FD"/>
    <w:rsid w:val="00CC3AE5"/>
    <w:rsid w:val="00CC44B2"/>
    <w:rsid w:val="00CC482F"/>
    <w:rsid w:val="00CC5198"/>
    <w:rsid w:val="00CD108E"/>
    <w:rsid w:val="00CD5C3A"/>
    <w:rsid w:val="00CE06EA"/>
    <w:rsid w:val="00CE243B"/>
    <w:rsid w:val="00CE2715"/>
    <w:rsid w:val="00CE3DFF"/>
    <w:rsid w:val="00CE7177"/>
    <w:rsid w:val="00CF2DF0"/>
    <w:rsid w:val="00D0690F"/>
    <w:rsid w:val="00D07D3B"/>
    <w:rsid w:val="00D10833"/>
    <w:rsid w:val="00D136D5"/>
    <w:rsid w:val="00D20C08"/>
    <w:rsid w:val="00D2249B"/>
    <w:rsid w:val="00D3556E"/>
    <w:rsid w:val="00D355D5"/>
    <w:rsid w:val="00D366BB"/>
    <w:rsid w:val="00D406FA"/>
    <w:rsid w:val="00D545EB"/>
    <w:rsid w:val="00D56E8F"/>
    <w:rsid w:val="00D61C30"/>
    <w:rsid w:val="00D62B20"/>
    <w:rsid w:val="00D6343A"/>
    <w:rsid w:val="00D725F2"/>
    <w:rsid w:val="00D739FA"/>
    <w:rsid w:val="00D745B7"/>
    <w:rsid w:val="00D77272"/>
    <w:rsid w:val="00D80BCE"/>
    <w:rsid w:val="00D86977"/>
    <w:rsid w:val="00D93498"/>
    <w:rsid w:val="00D93CED"/>
    <w:rsid w:val="00D94BDF"/>
    <w:rsid w:val="00DA24C7"/>
    <w:rsid w:val="00DA6D2C"/>
    <w:rsid w:val="00DB33C2"/>
    <w:rsid w:val="00DB624C"/>
    <w:rsid w:val="00DC3C21"/>
    <w:rsid w:val="00DD6659"/>
    <w:rsid w:val="00DD7381"/>
    <w:rsid w:val="00DE2645"/>
    <w:rsid w:val="00DE4668"/>
    <w:rsid w:val="00DE4D29"/>
    <w:rsid w:val="00DF0183"/>
    <w:rsid w:val="00DF5D8B"/>
    <w:rsid w:val="00E00EFF"/>
    <w:rsid w:val="00E01C45"/>
    <w:rsid w:val="00E0307E"/>
    <w:rsid w:val="00E12870"/>
    <w:rsid w:val="00E13436"/>
    <w:rsid w:val="00E13AED"/>
    <w:rsid w:val="00E1409D"/>
    <w:rsid w:val="00E155A9"/>
    <w:rsid w:val="00E20115"/>
    <w:rsid w:val="00E33078"/>
    <w:rsid w:val="00E34CD5"/>
    <w:rsid w:val="00E423EB"/>
    <w:rsid w:val="00E45235"/>
    <w:rsid w:val="00E45C84"/>
    <w:rsid w:val="00E55F1F"/>
    <w:rsid w:val="00E56F0D"/>
    <w:rsid w:val="00E672CB"/>
    <w:rsid w:val="00E67D1E"/>
    <w:rsid w:val="00E80EE6"/>
    <w:rsid w:val="00E8708B"/>
    <w:rsid w:val="00E92EF8"/>
    <w:rsid w:val="00E97DC9"/>
    <w:rsid w:val="00EA078C"/>
    <w:rsid w:val="00EA09D6"/>
    <w:rsid w:val="00EA229B"/>
    <w:rsid w:val="00EB11C4"/>
    <w:rsid w:val="00EB357D"/>
    <w:rsid w:val="00EB6986"/>
    <w:rsid w:val="00ED34B8"/>
    <w:rsid w:val="00ED3B75"/>
    <w:rsid w:val="00ED73CC"/>
    <w:rsid w:val="00ED750B"/>
    <w:rsid w:val="00EE1494"/>
    <w:rsid w:val="00EF0D8F"/>
    <w:rsid w:val="00EF3103"/>
    <w:rsid w:val="00EF4B4B"/>
    <w:rsid w:val="00EF5A50"/>
    <w:rsid w:val="00EF76B0"/>
    <w:rsid w:val="00F01A9D"/>
    <w:rsid w:val="00F01BAA"/>
    <w:rsid w:val="00F10397"/>
    <w:rsid w:val="00F14AE0"/>
    <w:rsid w:val="00F174E6"/>
    <w:rsid w:val="00F17967"/>
    <w:rsid w:val="00F23401"/>
    <w:rsid w:val="00F2688A"/>
    <w:rsid w:val="00F26DB9"/>
    <w:rsid w:val="00F3053C"/>
    <w:rsid w:val="00F4156E"/>
    <w:rsid w:val="00F55080"/>
    <w:rsid w:val="00F756DF"/>
    <w:rsid w:val="00F8160C"/>
    <w:rsid w:val="00F81D4B"/>
    <w:rsid w:val="00F861A1"/>
    <w:rsid w:val="00F87459"/>
    <w:rsid w:val="00F87E05"/>
    <w:rsid w:val="00F959EC"/>
    <w:rsid w:val="00FA56F8"/>
    <w:rsid w:val="00FA7E5F"/>
    <w:rsid w:val="00FB29F4"/>
    <w:rsid w:val="00FC3264"/>
    <w:rsid w:val="00FC62F0"/>
    <w:rsid w:val="00FE280C"/>
    <w:rsid w:val="00FE38F9"/>
    <w:rsid w:val="00FE4883"/>
    <w:rsid w:val="00FE4B1C"/>
    <w:rsid w:val="00FF10E4"/>
    <w:rsid w:val="00FF1B5E"/>
    <w:rsid w:val="00FF1F61"/>
    <w:rsid w:val="00FF4E9B"/>
    <w:rsid w:val="00FF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F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rFonts w:cs="Times New Roman"/>
      <w:b/>
      <w:bCs/>
    </w:rPr>
  </w:style>
  <w:style w:type="paragraph" w:styleId="ListParagraph">
    <w:name w:val="List Paragraph"/>
    <w:basedOn w:val="Normal"/>
    <w:uiPriority w:val="99"/>
    <w:qFormat/>
    <w:rsid w:val="00D07D3B"/>
    <w:pPr>
      <w:ind w:left="720"/>
      <w:contextualSpacing/>
    </w:pPr>
  </w:style>
  <w:style w:type="paragraph" w:styleId="Revision">
    <w:name w:val="Revision"/>
    <w:hidden/>
    <w:uiPriority w:val="99"/>
    <w:semiHidden/>
    <w:rsid w:val="00A37B69"/>
    <w:rPr>
      <w:sz w:val="24"/>
      <w:szCs w:val="20"/>
    </w:rPr>
  </w:style>
  <w:style w:type="paragraph" w:styleId="Date">
    <w:name w:val="Date"/>
    <w:basedOn w:val="Normal"/>
    <w:next w:val="Normal"/>
    <w:link w:val="DateChar"/>
    <w:uiPriority w:val="99"/>
    <w:rsid w:val="00071AEC"/>
    <w:pPr>
      <w:spacing w:after="240"/>
    </w:pPr>
    <w:rPr>
      <w:szCs w:val="24"/>
    </w:rPr>
  </w:style>
  <w:style w:type="character" w:customStyle="1" w:styleId="DateChar">
    <w:name w:val="Date Char"/>
    <w:basedOn w:val="DefaultParagraphFont"/>
    <w:link w:val="Date"/>
    <w:uiPriority w:val="99"/>
    <w:rsid w:val="00071A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 w:id="13695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CE69B18CD3B4D88FD55D1C3670D7B" ma:contentTypeVersion="" ma:contentTypeDescription="Create a new document." ma:contentTypeScope="" ma:versionID="714bbb4c67ca88d0d74d65409cbd93ab">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7CBD-DA93-4B01-A65E-AD1F0BD32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3642CE-05CE-442F-8351-56139CA8090B}">
  <ds:schemaRefs>
    <ds:schemaRef ds:uri="http://schemas.microsoft.com/sharepoint/v3/contenttype/forms"/>
  </ds:schemaRefs>
</ds:datastoreItem>
</file>

<file path=customXml/itemProps3.xml><?xml version="1.0" encoding="utf-8"?>
<ds:datastoreItem xmlns:ds="http://schemas.openxmlformats.org/officeDocument/2006/customXml" ds:itemID="{3810F32D-8F6F-40B8-AF60-603E454FAB4F}">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8A10594-BE57-437E-BECC-861C45F1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PHELPS, APRIL S</cp:lastModifiedBy>
  <cp:revision>6</cp:revision>
  <cp:lastPrinted>2015-06-23T14:10:00Z</cp:lastPrinted>
  <dcterms:created xsi:type="dcterms:W3CDTF">2015-09-28T23:17:00Z</dcterms:created>
  <dcterms:modified xsi:type="dcterms:W3CDTF">2015-09-29T13:25:00Z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0x010100577CE69B18CD3B4D88FD55D1C3670D7B</vt:lpwstr>
  </property>
</Properties>
</file>